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6A9EE" w14:textId="77777777" w:rsidR="002B7BD5" w:rsidRPr="00561494" w:rsidRDefault="002B7BD5" w:rsidP="002B7BD5">
      <w:pPr>
        <w:pStyle w:val="NormalWeb"/>
        <w:rPr>
          <w:rFonts w:ascii="Arial" w:hAnsi="Arial" w:cs="Arial"/>
          <w:b/>
          <w:bCs/>
          <w:color w:val="FF0000"/>
          <w:sz w:val="28"/>
          <w:szCs w:val="22"/>
          <w:u w:val="single"/>
        </w:rPr>
      </w:pPr>
      <w:r w:rsidRPr="00561494">
        <w:rPr>
          <w:rFonts w:ascii="Arial" w:hAnsi="Arial" w:cs="Arial"/>
          <w:b/>
          <w:bCs/>
          <w:color w:val="FF0000"/>
          <w:sz w:val="28"/>
          <w:szCs w:val="22"/>
          <w:u w:val="single"/>
        </w:rPr>
        <w:t>Non-accidental injury</w:t>
      </w:r>
    </w:p>
    <w:p w14:paraId="2B91C45D" w14:textId="77777777" w:rsidR="002B7BD5" w:rsidRPr="00486948" w:rsidRDefault="002B7BD5" w:rsidP="002B7BD5">
      <w:pPr>
        <w:pStyle w:val="NormalWeb"/>
        <w:rPr>
          <w:rFonts w:ascii="Arial" w:hAnsi="Arial" w:cs="Arial"/>
          <w:sz w:val="22"/>
          <w:szCs w:val="22"/>
        </w:rPr>
      </w:pPr>
      <w:r>
        <w:rPr>
          <w:rFonts w:ascii="Arial" w:hAnsi="Arial" w:cs="Arial"/>
          <w:b/>
          <w:bCs/>
          <w:sz w:val="22"/>
          <w:szCs w:val="22"/>
        </w:rPr>
        <w:t xml:space="preserve">Non accidental injury </w:t>
      </w:r>
      <w:r w:rsidRPr="00486948">
        <w:rPr>
          <w:rFonts w:ascii="Arial" w:hAnsi="Arial" w:cs="Arial"/>
          <w:b/>
          <w:bCs/>
          <w:sz w:val="22"/>
          <w:szCs w:val="22"/>
        </w:rPr>
        <w:t>(NAI)</w:t>
      </w:r>
      <w:r w:rsidRPr="00486948">
        <w:rPr>
          <w:rFonts w:ascii="Arial" w:hAnsi="Arial" w:cs="Arial"/>
          <w:sz w:val="22"/>
          <w:szCs w:val="22"/>
        </w:rPr>
        <w:t> is common, and potentially life-threatening and often presents with musculoskeletal problems, such as pain, swelling, limping, or non-weight bearing and all healthcare professionals who have contact with children should be alert to the possibility of abuse. Early intervention is crucial, and any concerns about neglect or abuse should be discussed with senior clinical staff or the designated child protection lead, to protect vulnerable children. You need to ensure that you are familiar with your local procedures and protocols for child protection.</w:t>
      </w:r>
    </w:p>
    <w:p w14:paraId="1226E068" w14:textId="77777777" w:rsidR="002B7BD5" w:rsidRPr="005D36AA" w:rsidRDefault="002B7BD5" w:rsidP="002B7BD5">
      <w:pPr>
        <w:pStyle w:val="NormalWeb"/>
        <w:spacing w:after="0"/>
        <w:rPr>
          <w:rFonts w:ascii="Arial" w:hAnsi="Arial" w:cs="Arial"/>
          <w:i/>
          <w:sz w:val="22"/>
          <w:szCs w:val="22"/>
        </w:rPr>
      </w:pPr>
      <w:r w:rsidRPr="005D36AA">
        <w:rPr>
          <w:rFonts w:ascii="Arial" w:hAnsi="Arial" w:cs="Arial"/>
          <w:b/>
          <w:bCs/>
          <w:i/>
          <w:sz w:val="22"/>
          <w:szCs w:val="22"/>
        </w:rPr>
        <w:t>Points to consider in detecting non-accidental injury:</w:t>
      </w:r>
    </w:p>
    <w:p w14:paraId="787BA73B" w14:textId="77777777" w:rsidR="002B7BD5" w:rsidRPr="00486948" w:rsidRDefault="002B7BD5" w:rsidP="002B7BD5">
      <w:pPr>
        <w:numPr>
          <w:ilvl w:val="0"/>
          <w:numId w:val="1"/>
        </w:numPr>
        <w:spacing w:before="100" w:beforeAutospacing="1" w:after="0" w:line="240" w:lineRule="auto"/>
        <w:ind w:left="0"/>
        <w:rPr>
          <w:rFonts w:ascii="Arial" w:eastAsia="Times New Roman" w:hAnsi="Arial" w:cs="Arial"/>
        </w:rPr>
      </w:pPr>
      <w:r w:rsidRPr="00486948">
        <w:rPr>
          <w:rFonts w:ascii="Arial" w:eastAsia="Times New Roman" w:hAnsi="Arial" w:cs="Arial"/>
        </w:rPr>
        <w:t>Is the history variable or inconsistent with the injuries seen?</w:t>
      </w:r>
    </w:p>
    <w:p w14:paraId="3ACB7E24" w14:textId="77777777" w:rsidR="002B7BD5" w:rsidRPr="00486948" w:rsidRDefault="002B7BD5" w:rsidP="002B7BD5">
      <w:pPr>
        <w:numPr>
          <w:ilvl w:val="0"/>
          <w:numId w:val="1"/>
        </w:numPr>
        <w:spacing w:before="100" w:beforeAutospacing="1" w:after="100" w:afterAutospacing="1" w:line="240" w:lineRule="auto"/>
        <w:ind w:left="0"/>
        <w:rPr>
          <w:rFonts w:ascii="Arial" w:eastAsia="Times New Roman" w:hAnsi="Arial" w:cs="Arial"/>
        </w:rPr>
      </w:pPr>
      <w:r w:rsidRPr="00486948">
        <w:rPr>
          <w:rFonts w:ascii="Arial" w:eastAsia="Times New Roman" w:hAnsi="Arial" w:cs="Arial"/>
        </w:rPr>
        <w:t>Was there a delay in seeking attention following an injury? </w:t>
      </w:r>
    </w:p>
    <w:p w14:paraId="2BB300B9" w14:textId="77777777" w:rsidR="002B7BD5" w:rsidRPr="00486948" w:rsidRDefault="002B7BD5" w:rsidP="002B7BD5">
      <w:pPr>
        <w:numPr>
          <w:ilvl w:val="0"/>
          <w:numId w:val="1"/>
        </w:numPr>
        <w:spacing w:before="100" w:beforeAutospacing="1" w:after="100" w:afterAutospacing="1" w:line="240" w:lineRule="auto"/>
        <w:ind w:left="0"/>
        <w:rPr>
          <w:rFonts w:ascii="Arial" w:eastAsia="Times New Roman" w:hAnsi="Arial" w:cs="Arial"/>
        </w:rPr>
      </w:pPr>
      <w:r w:rsidRPr="00486948">
        <w:rPr>
          <w:rFonts w:ascii="Arial" w:eastAsia="Times New Roman" w:hAnsi="Arial" w:cs="Arial"/>
        </w:rPr>
        <w:t>In a limping child – could this be due to a fracture or soft tissue injury? Is there a history of trauma, and is it consistent with the injury? </w:t>
      </w:r>
    </w:p>
    <w:p w14:paraId="0D2F844A" w14:textId="77777777" w:rsidR="002B7BD5" w:rsidRPr="00486948" w:rsidRDefault="002B7BD5" w:rsidP="002B7BD5">
      <w:pPr>
        <w:numPr>
          <w:ilvl w:val="0"/>
          <w:numId w:val="1"/>
        </w:numPr>
        <w:spacing w:before="100" w:beforeAutospacing="1" w:after="100" w:afterAutospacing="1" w:line="240" w:lineRule="auto"/>
        <w:ind w:left="0"/>
        <w:rPr>
          <w:rFonts w:ascii="Arial" w:eastAsia="Times New Roman" w:hAnsi="Arial" w:cs="Arial"/>
        </w:rPr>
      </w:pPr>
      <w:r w:rsidRPr="00486948">
        <w:rPr>
          <w:rFonts w:ascii="Arial" w:eastAsia="Times New Roman" w:hAnsi="Arial" w:cs="Arial"/>
        </w:rPr>
        <w:t>Are there multiple injuries? </w:t>
      </w:r>
    </w:p>
    <w:p w14:paraId="72F2BE81" w14:textId="77777777" w:rsidR="002B7BD5" w:rsidRPr="00486948" w:rsidRDefault="002B7BD5" w:rsidP="002B7BD5">
      <w:pPr>
        <w:numPr>
          <w:ilvl w:val="0"/>
          <w:numId w:val="1"/>
        </w:numPr>
        <w:spacing w:before="100" w:beforeAutospacing="1" w:after="100" w:afterAutospacing="1" w:line="240" w:lineRule="auto"/>
        <w:ind w:left="0"/>
        <w:rPr>
          <w:rFonts w:ascii="Arial" w:eastAsia="Times New Roman" w:hAnsi="Arial" w:cs="Arial"/>
        </w:rPr>
      </w:pPr>
      <w:r w:rsidRPr="00486948">
        <w:rPr>
          <w:rFonts w:ascii="Arial" w:eastAsia="Times New Roman" w:hAnsi="Arial" w:cs="Arial"/>
        </w:rPr>
        <w:t>Are there multiple attendances to the Emergency department, primary care or other healthcare services? </w:t>
      </w:r>
    </w:p>
    <w:p w14:paraId="658360D5" w14:textId="77777777" w:rsidR="002B7BD5" w:rsidRPr="00486948" w:rsidRDefault="002B7BD5" w:rsidP="002B7BD5">
      <w:pPr>
        <w:numPr>
          <w:ilvl w:val="0"/>
          <w:numId w:val="1"/>
        </w:numPr>
        <w:spacing w:before="100" w:beforeAutospacing="1" w:after="100" w:afterAutospacing="1" w:line="240" w:lineRule="auto"/>
        <w:ind w:left="0"/>
        <w:rPr>
          <w:rFonts w:ascii="Arial" w:eastAsia="Times New Roman" w:hAnsi="Arial" w:cs="Arial"/>
        </w:rPr>
      </w:pPr>
      <w:r w:rsidRPr="00486948">
        <w:rPr>
          <w:rFonts w:ascii="Arial" w:eastAsia="Times New Roman" w:hAnsi="Arial" w:cs="Arial"/>
        </w:rPr>
        <w:t>Are there signs of neglect, such as an unkempt, persistently dirty or smelly child - and especially in a child with learning difficulties or chronic illness?</w:t>
      </w:r>
    </w:p>
    <w:p w14:paraId="7C26C2E3" w14:textId="77777777" w:rsidR="002B7BD5" w:rsidRDefault="002B7BD5" w:rsidP="002B7BD5">
      <w:pPr>
        <w:numPr>
          <w:ilvl w:val="0"/>
          <w:numId w:val="1"/>
        </w:numPr>
        <w:spacing w:before="100" w:beforeAutospacing="1" w:after="100" w:afterAutospacing="1" w:line="240" w:lineRule="auto"/>
        <w:ind w:left="0"/>
        <w:rPr>
          <w:rFonts w:eastAsia="Times New Roman"/>
        </w:rPr>
      </w:pPr>
      <w:r>
        <w:rPr>
          <w:rFonts w:eastAsia="Times New Roman"/>
        </w:rPr>
        <w:t>Are the findings consistent with the developmental age of the child?</w:t>
      </w:r>
    </w:p>
    <w:p w14:paraId="760F73CD" w14:textId="77777777" w:rsidR="002B7BD5" w:rsidRPr="005D36AA" w:rsidRDefault="002B7BD5" w:rsidP="002B7BD5">
      <w:pPr>
        <w:pStyle w:val="NormalWeb"/>
        <w:spacing w:after="120"/>
        <w:rPr>
          <w:rFonts w:ascii="Arial" w:eastAsiaTheme="minorHAnsi" w:hAnsi="Arial" w:cs="Arial"/>
          <w:i/>
        </w:rPr>
      </w:pPr>
      <w:r w:rsidRPr="005D36AA">
        <w:rPr>
          <w:rFonts w:ascii="Arial" w:hAnsi="Arial" w:cs="Arial"/>
          <w:b/>
          <w:bCs/>
          <w:i/>
        </w:rPr>
        <w:t>Certain patterns of injury are suggestive of non-accidental injury:</w:t>
      </w:r>
    </w:p>
    <w:p w14:paraId="49DA6AB2" w14:textId="77777777" w:rsidR="002B7BD5" w:rsidRPr="00486948" w:rsidRDefault="002B7BD5" w:rsidP="002B7BD5">
      <w:pPr>
        <w:numPr>
          <w:ilvl w:val="0"/>
          <w:numId w:val="2"/>
        </w:numPr>
        <w:spacing w:before="100" w:beforeAutospacing="1" w:after="100" w:afterAutospacing="1" w:line="240" w:lineRule="auto"/>
        <w:ind w:left="0"/>
        <w:rPr>
          <w:rFonts w:ascii="Arial" w:eastAsia="Times New Roman" w:hAnsi="Arial" w:cs="Arial"/>
        </w:rPr>
      </w:pPr>
      <w:r w:rsidRPr="00486948">
        <w:rPr>
          <w:rFonts w:ascii="Arial" w:eastAsia="Times New Roman" w:hAnsi="Arial" w:cs="Arial"/>
        </w:rPr>
        <w:t>Bruising in a non-mobile child.</w:t>
      </w:r>
    </w:p>
    <w:p w14:paraId="5B3C05CE" w14:textId="77777777" w:rsidR="002B7BD5" w:rsidRPr="00486948" w:rsidRDefault="002B7BD5" w:rsidP="002B7BD5">
      <w:pPr>
        <w:numPr>
          <w:ilvl w:val="0"/>
          <w:numId w:val="2"/>
        </w:numPr>
        <w:spacing w:before="100" w:beforeAutospacing="1" w:after="100" w:afterAutospacing="1" w:line="240" w:lineRule="auto"/>
        <w:ind w:left="0"/>
        <w:rPr>
          <w:rFonts w:ascii="Arial" w:eastAsia="Times New Roman" w:hAnsi="Arial" w:cs="Arial"/>
        </w:rPr>
      </w:pPr>
      <w:r w:rsidRPr="00486948">
        <w:rPr>
          <w:rFonts w:ascii="Arial" w:eastAsia="Times New Roman" w:hAnsi="Arial" w:cs="Arial"/>
        </w:rPr>
        <w:t>Bruising over soft tissues, multiple bruises, clusters of bruises, bruises in the shape of a hand or implement or instrument.</w:t>
      </w:r>
    </w:p>
    <w:p w14:paraId="28B79331" w14:textId="77777777" w:rsidR="002B7BD5" w:rsidRPr="00486948" w:rsidRDefault="002B7BD5" w:rsidP="002B7BD5">
      <w:pPr>
        <w:numPr>
          <w:ilvl w:val="0"/>
          <w:numId w:val="2"/>
        </w:numPr>
        <w:spacing w:before="100" w:beforeAutospacing="1" w:after="100" w:afterAutospacing="1" w:line="240" w:lineRule="auto"/>
        <w:ind w:left="0"/>
        <w:rPr>
          <w:rFonts w:ascii="Arial" w:eastAsia="Times New Roman" w:hAnsi="Arial" w:cs="Arial"/>
        </w:rPr>
      </w:pPr>
      <w:r w:rsidRPr="00486948">
        <w:rPr>
          <w:rFonts w:ascii="Arial" w:eastAsia="Times New Roman" w:hAnsi="Arial" w:cs="Arial"/>
        </w:rPr>
        <w:t xml:space="preserve">Burns in particular shapes </w:t>
      </w:r>
      <w:proofErr w:type="spellStart"/>
      <w:r w:rsidRPr="00486948">
        <w:rPr>
          <w:rFonts w:ascii="Arial" w:eastAsia="Times New Roman" w:hAnsi="Arial" w:cs="Arial"/>
        </w:rPr>
        <w:t>eg</w:t>
      </w:r>
      <w:proofErr w:type="spellEnd"/>
      <w:r w:rsidRPr="00486948">
        <w:rPr>
          <w:rFonts w:ascii="Arial" w:eastAsia="Times New Roman" w:hAnsi="Arial" w:cs="Arial"/>
        </w:rPr>
        <w:t xml:space="preserve"> cigarette burns, burns suggestive of forced immersion.</w:t>
      </w:r>
    </w:p>
    <w:p w14:paraId="25969319" w14:textId="77777777" w:rsidR="002B7BD5" w:rsidRPr="00486948" w:rsidRDefault="002B7BD5" w:rsidP="002B7BD5">
      <w:pPr>
        <w:numPr>
          <w:ilvl w:val="0"/>
          <w:numId w:val="2"/>
        </w:numPr>
        <w:spacing w:before="100" w:beforeAutospacing="1" w:after="100" w:afterAutospacing="1" w:line="240" w:lineRule="auto"/>
        <w:ind w:left="0"/>
        <w:rPr>
          <w:rFonts w:ascii="Arial" w:eastAsia="Times New Roman" w:hAnsi="Arial" w:cs="Arial"/>
        </w:rPr>
      </w:pPr>
      <w:r w:rsidRPr="00486948">
        <w:rPr>
          <w:rFonts w:ascii="Arial" w:eastAsia="Times New Roman" w:hAnsi="Arial" w:cs="Arial"/>
        </w:rPr>
        <w:t xml:space="preserve">Certain types of fractures are more suggestive of abuse than others (although none are pathognomonic) </w:t>
      </w:r>
      <w:proofErr w:type="spellStart"/>
      <w:r w:rsidRPr="00486948">
        <w:rPr>
          <w:rFonts w:ascii="Arial" w:eastAsia="Times New Roman" w:hAnsi="Arial" w:cs="Arial"/>
        </w:rPr>
        <w:t>eg</w:t>
      </w:r>
      <w:proofErr w:type="spellEnd"/>
      <w:r w:rsidRPr="00486948">
        <w:rPr>
          <w:rFonts w:ascii="Arial" w:eastAsia="Times New Roman" w:hAnsi="Arial" w:cs="Arial"/>
        </w:rPr>
        <w:t xml:space="preserve"> classic metaphyseal lesions, usually caused by twisting/shearing forces.</w:t>
      </w:r>
    </w:p>
    <w:p w14:paraId="1C95E6D3" w14:textId="77777777" w:rsidR="002B7BD5" w:rsidRPr="00486948" w:rsidRDefault="002B7BD5" w:rsidP="002B7BD5">
      <w:pPr>
        <w:numPr>
          <w:ilvl w:val="0"/>
          <w:numId w:val="2"/>
        </w:numPr>
        <w:spacing w:before="100" w:beforeAutospacing="1" w:after="100" w:afterAutospacing="1" w:line="240" w:lineRule="auto"/>
        <w:ind w:left="0"/>
        <w:rPr>
          <w:rFonts w:ascii="Arial" w:eastAsia="Times New Roman" w:hAnsi="Arial" w:cs="Arial"/>
        </w:rPr>
      </w:pPr>
      <w:r w:rsidRPr="00486948">
        <w:rPr>
          <w:rFonts w:ascii="Arial" w:eastAsia="Times New Roman" w:hAnsi="Arial" w:cs="Arial"/>
        </w:rPr>
        <w:t xml:space="preserve">Exclude bruising or soft tissue swelling due to medical causes – </w:t>
      </w:r>
      <w:proofErr w:type="spellStart"/>
      <w:r w:rsidRPr="00486948">
        <w:rPr>
          <w:rFonts w:ascii="Arial" w:eastAsia="Times New Roman" w:hAnsi="Arial" w:cs="Arial"/>
        </w:rPr>
        <w:t>eg</w:t>
      </w:r>
      <w:proofErr w:type="spellEnd"/>
      <w:r w:rsidRPr="00486948">
        <w:rPr>
          <w:rFonts w:ascii="Arial" w:eastAsia="Times New Roman" w:hAnsi="Arial" w:cs="Arial"/>
        </w:rPr>
        <w:t xml:space="preserve"> vasculitis, coagulation disorders. </w:t>
      </w:r>
    </w:p>
    <w:p w14:paraId="3DC4DDBB" w14:textId="77777777" w:rsidR="002B7BD5" w:rsidRPr="00486948" w:rsidRDefault="002B7BD5" w:rsidP="002B7BD5">
      <w:pPr>
        <w:numPr>
          <w:ilvl w:val="0"/>
          <w:numId w:val="2"/>
        </w:numPr>
        <w:spacing w:before="100" w:beforeAutospacing="1" w:after="100" w:afterAutospacing="1" w:line="240" w:lineRule="auto"/>
        <w:ind w:left="0"/>
        <w:rPr>
          <w:rFonts w:ascii="Arial" w:eastAsia="Times New Roman" w:hAnsi="Arial" w:cs="Arial"/>
        </w:rPr>
      </w:pPr>
      <w:r w:rsidRPr="00486948">
        <w:rPr>
          <w:rFonts w:ascii="Arial" w:eastAsia="Times New Roman" w:hAnsi="Arial" w:cs="Arial"/>
        </w:rPr>
        <w:t>Exclude metabolic bone disease with recurrent fractures (</w:t>
      </w:r>
      <w:proofErr w:type="spellStart"/>
      <w:r w:rsidRPr="00486948">
        <w:rPr>
          <w:rFonts w:ascii="Arial" w:eastAsia="Times New Roman" w:hAnsi="Arial" w:cs="Arial"/>
        </w:rPr>
        <w:t>e.g</w:t>
      </w:r>
      <w:proofErr w:type="spellEnd"/>
      <w:r w:rsidRPr="00486948">
        <w:rPr>
          <w:rFonts w:ascii="Arial" w:eastAsia="Times New Roman" w:hAnsi="Arial" w:cs="Arial"/>
        </w:rPr>
        <w:t xml:space="preserve"> osteogenesis imperfecta or osteoporosis secondary to chronic corticosteroids).</w:t>
      </w:r>
    </w:p>
    <w:p w14:paraId="447B27CC" w14:textId="77777777" w:rsidR="002B7BD5" w:rsidRPr="00486948" w:rsidRDefault="002B7BD5" w:rsidP="002B7BD5">
      <w:pPr>
        <w:numPr>
          <w:ilvl w:val="0"/>
          <w:numId w:val="2"/>
        </w:numPr>
        <w:spacing w:before="100" w:beforeAutospacing="1" w:after="100" w:afterAutospacing="1" w:line="240" w:lineRule="auto"/>
        <w:ind w:left="0"/>
        <w:rPr>
          <w:rFonts w:ascii="Arial" w:eastAsia="Times New Roman" w:hAnsi="Arial" w:cs="Arial"/>
        </w:rPr>
      </w:pPr>
      <w:r w:rsidRPr="00486948">
        <w:rPr>
          <w:rFonts w:ascii="Arial" w:eastAsia="Times New Roman" w:hAnsi="Arial" w:cs="Arial"/>
        </w:rPr>
        <w:t>Remember a child with an organic diagnosis and especially chronic illness or disability may still be at risk of abuse or neglect.</w:t>
      </w:r>
    </w:p>
    <w:p w14:paraId="43B2A748" w14:textId="77777777" w:rsidR="004A01EF" w:rsidRPr="00D6632B" w:rsidRDefault="004A01EF">
      <w:pPr>
        <w:rPr>
          <w:rFonts w:cs="Arial"/>
        </w:rPr>
      </w:pPr>
    </w:p>
    <w:sectPr w:rsidR="004A01EF" w:rsidRPr="00D6632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8001D6"/>
    <w:multiLevelType w:val="multilevel"/>
    <w:tmpl w:val="2D3006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332FBE"/>
    <w:multiLevelType w:val="multilevel"/>
    <w:tmpl w:val="74D489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34356545">
    <w:abstractNumId w:val="0"/>
  </w:num>
  <w:num w:numId="2" w16cid:durableId="7899058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BD5"/>
    <w:rsid w:val="001952F6"/>
    <w:rsid w:val="002B7BD5"/>
    <w:rsid w:val="004A01EF"/>
    <w:rsid w:val="008A1937"/>
    <w:rsid w:val="00AE1DC7"/>
    <w:rsid w:val="00D6632B"/>
    <w:rsid w:val="00EE4E1E"/>
    <w:rsid w:val="00EE57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C1A4D5"/>
  <w15:docId w15:val="{6E7637CB-123A-42BC-8541-80D3868BC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7BD5"/>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B7BD5"/>
    <w:pPr>
      <w:spacing w:after="375"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CCG Custom">
      <a:dk1>
        <a:sysClr val="windowText" lastClr="000000"/>
      </a:dk1>
      <a:lt1>
        <a:sysClr val="window" lastClr="FFFFFF"/>
      </a:lt1>
      <a:dk2>
        <a:srgbClr val="243E96"/>
      </a:dk2>
      <a:lt2>
        <a:srgbClr val="FFFFFF"/>
      </a:lt2>
      <a:accent1>
        <a:srgbClr val="000000"/>
      </a:accent1>
      <a:accent2>
        <a:srgbClr val="0072C6"/>
      </a:accent2>
      <a:accent3>
        <a:srgbClr val="087AC0"/>
      </a:accent3>
      <a:accent4>
        <a:srgbClr val="BF1D7C"/>
      </a:accent4>
      <a:accent5>
        <a:srgbClr val="243E96"/>
      </a:accent5>
      <a:accent6>
        <a:srgbClr val="FFFFF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Plymouth City Council</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Bishop</dc:creator>
  <cp:lastModifiedBy>Kevin Bishop</cp:lastModifiedBy>
  <cp:revision>2</cp:revision>
  <dcterms:created xsi:type="dcterms:W3CDTF">2023-10-13T15:15:00Z</dcterms:created>
  <dcterms:modified xsi:type="dcterms:W3CDTF">2023-10-13T15:15:00Z</dcterms:modified>
</cp:coreProperties>
</file>