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61" w:rsidRPr="001C6019" w:rsidRDefault="00795861" w:rsidP="0050681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0BFB" w:rsidRPr="001C6019" w:rsidRDefault="00720BFB" w:rsidP="00720BFB">
      <w:pPr>
        <w:pStyle w:val="NoSpacing"/>
        <w:tabs>
          <w:tab w:val="right" w:pos="8789"/>
        </w:tabs>
        <w:rPr>
          <w:rFonts w:ascii="Arial" w:hAnsi="Arial" w:cs="Arial"/>
          <w:sz w:val="24"/>
          <w:szCs w:val="24"/>
        </w:rPr>
      </w:pPr>
      <w:r w:rsidRPr="001C6019">
        <w:rPr>
          <w:rFonts w:ascii="Arial" w:hAnsi="Arial" w:cs="Arial"/>
          <w:sz w:val="24"/>
          <w:szCs w:val="24"/>
        </w:rPr>
        <w:tab/>
      </w:r>
    </w:p>
    <w:p w:rsidR="00720BFB" w:rsidRPr="001C6019" w:rsidRDefault="00720BFB">
      <w:pPr>
        <w:rPr>
          <w:rFonts w:ascii="Arial" w:hAnsi="Arial" w:cs="Arial"/>
          <w:sz w:val="24"/>
          <w:szCs w:val="24"/>
        </w:rPr>
      </w:pPr>
    </w:p>
    <w:p w:rsidR="001C6019" w:rsidRPr="001C6019" w:rsidRDefault="001C6019">
      <w:pPr>
        <w:rPr>
          <w:rFonts w:ascii="Arial" w:hAnsi="Arial" w:cs="Arial"/>
          <w:b/>
          <w:sz w:val="4"/>
          <w:szCs w:val="4"/>
        </w:rPr>
      </w:pPr>
    </w:p>
    <w:p w:rsidR="00720BFB" w:rsidRPr="001C6019" w:rsidRDefault="003457E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Vulnerability, Mental Capacity and Self Neglect</w:t>
      </w:r>
    </w:p>
    <w:p w:rsidR="003409AE" w:rsidRPr="009C46F4" w:rsidRDefault="00213A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Self-neglect by adults who are vulnerable raises a </w:t>
      </w:r>
      <w:r w:rsidR="003409AE" w:rsidRPr="009C46F4">
        <w:rPr>
          <w:rFonts w:ascii="Arial" w:hAnsi="Arial" w:cs="Arial"/>
          <w:sz w:val="28"/>
          <w:szCs w:val="28"/>
        </w:rPr>
        <w:t xml:space="preserve">fundamental conflict for professionals between </w:t>
      </w:r>
      <w:r>
        <w:rPr>
          <w:rFonts w:ascii="Arial" w:hAnsi="Arial" w:cs="Arial"/>
          <w:sz w:val="28"/>
          <w:szCs w:val="28"/>
        </w:rPr>
        <w:t>fulfilling one’s duty of care and respecting the patient’s</w:t>
      </w:r>
      <w:r w:rsidR="003409AE" w:rsidRPr="009C46F4">
        <w:rPr>
          <w:rFonts w:ascii="Arial" w:hAnsi="Arial" w:cs="Arial"/>
          <w:sz w:val="28"/>
          <w:szCs w:val="28"/>
        </w:rPr>
        <w:t xml:space="preserve"> right to privacy, </w:t>
      </w:r>
      <w:r>
        <w:rPr>
          <w:rFonts w:ascii="Arial" w:hAnsi="Arial" w:cs="Arial"/>
          <w:sz w:val="28"/>
          <w:szCs w:val="28"/>
        </w:rPr>
        <w:t>autonomy and choice</w:t>
      </w:r>
      <w:r w:rsidR="003409AE" w:rsidRPr="009C46F4">
        <w:rPr>
          <w:rFonts w:ascii="Arial" w:hAnsi="Arial" w:cs="Arial"/>
          <w:sz w:val="28"/>
          <w:szCs w:val="28"/>
        </w:rPr>
        <w:t>.</w:t>
      </w:r>
      <w:r w:rsidR="009C46F4">
        <w:rPr>
          <w:rFonts w:ascii="Arial" w:hAnsi="Arial" w:cs="Arial"/>
          <w:sz w:val="28"/>
          <w:szCs w:val="28"/>
        </w:rPr>
        <w:t xml:space="preserve"> </w:t>
      </w:r>
    </w:p>
    <w:p w:rsidR="003409AE" w:rsidRPr="009C46F4" w:rsidRDefault="003409AE">
      <w:pPr>
        <w:rPr>
          <w:rFonts w:ascii="Arial" w:hAnsi="Arial" w:cs="Arial"/>
          <w:sz w:val="28"/>
          <w:szCs w:val="28"/>
        </w:rPr>
      </w:pPr>
      <w:r w:rsidRPr="009C46F4">
        <w:rPr>
          <w:rFonts w:ascii="Arial" w:hAnsi="Arial" w:cs="Arial"/>
          <w:sz w:val="28"/>
          <w:szCs w:val="28"/>
        </w:rPr>
        <w:t>The Mental Capacity Act</w:t>
      </w:r>
      <w:r w:rsidR="00213A20">
        <w:rPr>
          <w:rFonts w:ascii="Arial" w:hAnsi="Arial" w:cs="Arial"/>
          <w:sz w:val="28"/>
          <w:szCs w:val="28"/>
        </w:rPr>
        <w:t xml:space="preserve"> (MCA)</w:t>
      </w:r>
      <w:r w:rsidRPr="009C46F4">
        <w:rPr>
          <w:rFonts w:ascii="Arial" w:hAnsi="Arial" w:cs="Arial"/>
          <w:sz w:val="28"/>
          <w:szCs w:val="28"/>
        </w:rPr>
        <w:t xml:space="preserve"> </w:t>
      </w:r>
      <w:r w:rsidR="00213A20">
        <w:rPr>
          <w:rFonts w:ascii="Arial" w:hAnsi="Arial" w:cs="Arial"/>
          <w:sz w:val="28"/>
          <w:szCs w:val="28"/>
        </w:rPr>
        <w:t xml:space="preserve">2005 </w:t>
      </w:r>
      <w:r w:rsidRPr="009C46F4">
        <w:rPr>
          <w:rFonts w:ascii="Arial" w:hAnsi="Arial" w:cs="Arial"/>
          <w:sz w:val="28"/>
          <w:szCs w:val="28"/>
        </w:rPr>
        <w:t xml:space="preserve">provides a legal framework under which there is protection from liability for intervening to bring about a person’s best interest where that person lacks mental capacity to give consent. </w:t>
      </w:r>
      <w:r w:rsidR="00213A20">
        <w:rPr>
          <w:rFonts w:ascii="Arial" w:hAnsi="Arial" w:cs="Arial"/>
          <w:sz w:val="28"/>
          <w:szCs w:val="28"/>
        </w:rPr>
        <w:t>MCA</w:t>
      </w:r>
      <w:r w:rsidRPr="009C46F4">
        <w:rPr>
          <w:rFonts w:ascii="Arial" w:hAnsi="Arial" w:cs="Arial"/>
          <w:sz w:val="28"/>
          <w:szCs w:val="28"/>
        </w:rPr>
        <w:t xml:space="preserve"> guidance about acting in a person’</w:t>
      </w:r>
      <w:r w:rsidR="00225684" w:rsidRPr="009C46F4">
        <w:rPr>
          <w:rFonts w:ascii="Arial" w:hAnsi="Arial" w:cs="Arial"/>
          <w:sz w:val="28"/>
          <w:szCs w:val="28"/>
        </w:rPr>
        <w:t>s best interest requires the</w:t>
      </w:r>
      <w:r w:rsidRPr="009C46F4">
        <w:rPr>
          <w:rFonts w:ascii="Arial" w:hAnsi="Arial" w:cs="Arial"/>
          <w:sz w:val="28"/>
          <w:szCs w:val="28"/>
        </w:rPr>
        <w:t xml:space="preserve"> person’s wishes and values to be taken into account, but allows for the possibility </w:t>
      </w:r>
      <w:r w:rsidR="00213A20">
        <w:rPr>
          <w:rFonts w:ascii="Arial" w:hAnsi="Arial" w:cs="Arial"/>
          <w:sz w:val="28"/>
          <w:szCs w:val="28"/>
        </w:rPr>
        <w:t xml:space="preserve">that </w:t>
      </w:r>
      <w:r w:rsidRPr="009C46F4">
        <w:rPr>
          <w:rFonts w:ascii="Arial" w:hAnsi="Arial" w:cs="Arial"/>
          <w:sz w:val="28"/>
          <w:szCs w:val="28"/>
        </w:rPr>
        <w:t xml:space="preserve">wishes may be overridden in some circumstances. </w:t>
      </w:r>
      <w:r w:rsidR="00213A20">
        <w:rPr>
          <w:rFonts w:ascii="Arial" w:hAnsi="Arial" w:cs="Arial"/>
          <w:sz w:val="28"/>
          <w:szCs w:val="28"/>
        </w:rPr>
        <w:t xml:space="preserve">Best Interest decisions </w:t>
      </w:r>
      <w:r w:rsidR="00213A20" w:rsidRPr="009C46F4">
        <w:rPr>
          <w:rFonts w:ascii="Arial" w:hAnsi="Arial" w:cs="Arial"/>
          <w:sz w:val="28"/>
          <w:szCs w:val="28"/>
        </w:rPr>
        <w:t xml:space="preserve">must be reasonable, necessary and proportionate in relation to a person’s </w:t>
      </w:r>
      <w:r w:rsidR="00213A20">
        <w:rPr>
          <w:rFonts w:ascii="Arial" w:hAnsi="Arial" w:cs="Arial"/>
          <w:sz w:val="28"/>
          <w:szCs w:val="28"/>
        </w:rPr>
        <w:t>right to privacy</w:t>
      </w:r>
      <w:r w:rsidR="00213A20" w:rsidRPr="009C46F4">
        <w:rPr>
          <w:rFonts w:ascii="Arial" w:hAnsi="Arial" w:cs="Arial"/>
          <w:sz w:val="28"/>
          <w:szCs w:val="28"/>
        </w:rPr>
        <w:t>, autonomy and family life.</w:t>
      </w:r>
      <w:r w:rsidR="00213A20">
        <w:rPr>
          <w:rFonts w:ascii="Arial" w:hAnsi="Arial" w:cs="Arial"/>
          <w:sz w:val="28"/>
          <w:szCs w:val="28"/>
        </w:rPr>
        <w:t xml:space="preserve"> </w:t>
      </w:r>
      <w:r w:rsidRPr="009C46F4">
        <w:rPr>
          <w:rFonts w:ascii="Arial" w:hAnsi="Arial" w:cs="Arial"/>
          <w:sz w:val="28"/>
          <w:szCs w:val="28"/>
        </w:rPr>
        <w:t>The deprivation of li</w:t>
      </w:r>
      <w:r w:rsidR="00225684" w:rsidRPr="009C46F4">
        <w:rPr>
          <w:rFonts w:ascii="Arial" w:hAnsi="Arial" w:cs="Arial"/>
          <w:sz w:val="28"/>
          <w:szCs w:val="28"/>
        </w:rPr>
        <w:t xml:space="preserve">berty safeguards </w:t>
      </w:r>
      <w:r w:rsidR="00213A20">
        <w:rPr>
          <w:rFonts w:ascii="Arial" w:hAnsi="Arial" w:cs="Arial"/>
          <w:sz w:val="28"/>
          <w:szCs w:val="28"/>
        </w:rPr>
        <w:t>provide additional protection when inte</w:t>
      </w:r>
      <w:r w:rsidRPr="009C46F4">
        <w:rPr>
          <w:rFonts w:ascii="Arial" w:hAnsi="Arial" w:cs="Arial"/>
          <w:sz w:val="28"/>
          <w:szCs w:val="28"/>
        </w:rPr>
        <w:t>rvention</w:t>
      </w:r>
      <w:r w:rsidR="00225684" w:rsidRPr="009C46F4">
        <w:rPr>
          <w:rFonts w:ascii="Arial" w:hAnsi="Arial" w:cs="Arial"/>
          <w:sz w:val="28"/>
          <w:szCs w:val="28"/>
        </w:rPr>
        <w:t xml:space="preserve">s </w:t>
      </w:r>
      <w:r w:rsidR="00213A20">
        <w:rPr>
          <w:rFonts w:ascii="Arial" w:hAnsi="Arial" w:cs="Arial"/>
          <w:sz w:val="28"/>
          <w:szCs w:val="28"/>
        </w:rPr>
        <w:t>amount to detention or confinement</w:t>
      </w:r>
      <w:r w:rsidRPr="009C46F4">
        <w:rPr>
          <w:rFonts w:ascii="Arial" w:hAnsi="Arial" w:cs="Arial"/>
          <w:sz w:val="28"/>
          <w:szCs w:val="28"/>
        </w:rPr>
        <w:t>.</w:t>
      </w:r>
      <w:r w:rsidR="00225684" w:rsidRPr="009C46F4">
        <w:rPr>
          <w:rFonts w:ascii="Arial" w:hAnsi="Arial" w:cs="Arial"/>
          <w:sz w:val="28"/>
          <w:szCs w:val="28"/>
        </w:rPr>
        <w:t xml:space="preserve"> </w:t>
      </w:r>
    </w:p>
    <w:p w:rsidR="003409AE" w:rsidRPr="009C46F4" w:rsidRDefault="003409AE">
      <w:pPr>
        <w:rPr>
          <w:rFonts w:ascii="Arial" w:hAnsi="Arial" w:cs="Arial"/>
          <w:sz w:val="28"/>
          <w:szCs w:val="28"/>
        </w:rPr>
      </w:pPr>
      <w:r w:rsidRPr="009C46F4">
        <w:rPr>
          <w:rFonts w:ascii="Arial" w:hAnsi="Arial" w:cs="Arial"/>
          <w:sz w:val="28"/>
          <w:szCs w:val="28"/>
        </w:rPr>
        <w:t>Where a person has mental capacity to make a decision, there are limited legal frameworks under which it is possible to intervene without consent. These may include t</w:t>
      </w:r>
      <w:r w:rsidR="00213A20">
        <w:rPr>
          <w:rFonts w:ascii="Arial" w:hAnsi="Arial" w:cs="Arial"/>
          <w:sz w:val="28"/>
          <w:szCs w:val="28"/>
        </w:rPr>
        <w:t>he Mental Health Act,</w:t>
      </w:r>
      <w:r w:rsidR="00225684" w:rsidRPr="009C46F4">
        <w:rPr>
          <w:rFonts w:ascii="Arial" w:hAnsi="Arial" w:cs="Arial"/>
          <w:sz w:val="28"/>
          <w:szCs w:val="28"/>
        </w:rPr>
        <w:t xml:space="preserve"> environmental health</w:t>
      </w:r>
      <w:r w:rsidR="00213A20">
        <w:rPr>
          <w:rFonts w:ascii="Arial" w:hAnsi="Arial" w:cs="Arial"/>
          <w:sz w:val="28"/>
          <w:szCs w:val="28"/>
        </w:rPr>
        <w:t xml:space="preserve"> powers</w:t>
      </w:r>
      <w:r w:rsidR="00225684" w:rsidRPr="009C46F4">
        <w:rPr>
          <w:rFonts w:ascii="Arial" w:hAnsi="Arial" w:cs="Arial"/>
          <w:sz w:val="28"/>
          <w:szCs w:val="28"/>
        </w:rPr>
        <w:t xml:space="preserve"> or even</w:t>
      </w:r>
      <w:r w:rsidRPr="009C46F4">
        <w:rPr>
          <w:rFonts w:ascii="Arial" w:hAnsi="Arial" w:cs="Arial"/>
          <w:sz w:val="28"/>
          <w:szCs w:val="28"/>
        </w:rPr>
        <w:t xml:space="preserve">, in extreme cases, the inherent jurisdiction of the court. </w:t>
      </w:r>
    </w:p>
    <w:p w:rsidR="00225684" w:rsidRPr="009C46F4" w:rsidRDefault="003409AE">
      <w:pPr>
        <w:rPr>
          <w:rFonts w:ascii="Arial" w:hAnsi="Arial" w:cs="Arial"/>
          <w:sz w:val="28"/>
          <w:szCs w:val="28"/>
        </w:rPr>
      </w:pPr>
      <w:r w:rsidRPr="009C46F4">
        <w:rPr>
          <w:rFonts w:ascii="Arial" w:hAnsi="Arial" w:cs="Arial"/>
          <w:sz w:val="28"/>
          <w:szCs w:val="28"/>
        </w:rPr>
        <w:t xml:space="preserve">The Care Act </w:t>
      </w:r>
      <w:r w:rsidR="00213A20">
        <w:rPr>
          <w:rFonts w:ascii="Arial" w:hAnsi="Arial" w:cs="Arial"/>
          <w:sz w:val="28"/>
          <w:szCs w:val="28"/>
        </w:rPr>
        <w:t xml:space="preserve">2014 </w:t>
      </w:r>
      <w:r w:rsidRPr="009C46F4">
        <w:rPr>
          <w:rFonts w:ascii="Arial" w:hAnsi="Arial" w:cs="Arial"/>
          <w:sz w:val="28"/>
          <w:szCs w:val="28"/>
        </w:rPr>
        <w:t>replaced the term vulnerable adult with the term adult at risk. It also explicitly included self- neglect as a type of abuse that may be subject to safeguarding adult proc</w:t>
      </w:r>
      <w:r w:rsidR="00213A20">
        <w:rPr>
          <w:rFonts w:ascii="Arial" w:hAnsi="Arial" w:cs="Arial"/>
          <w:sz w:val="28"/>
          <w:szCs w:val="28"/>
        </w:rPr>
        <w:t>edures</w:t>
      </w:r>
      <w:r w:rsidRPr="009C46F4">
        <w:rPr>
          <w:rFonts w:ascii="Arial" w:hAnsi="Arial" w:cs="Arial"/>
          <w:sz w:val="28"/>
          <w:szCs w:val="28"/>
        </w:rPr>
        <w:t>.</w:t>
      </w:r>
      <w:r w:rsidR="006E6163" w:rsidRPr="009C46F4">
        <w:rPr>
          <w:rFonts w:ascii="Arial" w:hAnsi="Arial" w:cs="Arial"/>
          <w:sz w:val="28"/>
          <w:szCs w:val="28"/>
        </w:rPr>
        <w:t xml:space="preserve"> </w:t>
      </w:r>
      <w:r w:rsidR="00213A20">
        <w:rPr>
          <w:rFonts w:ascii="Arial" w:hAnsi="Arial" w:cs="Arial"/>
          <w:sz w:val="28"/>
          <w:szCs w:val="28"/>
        </w:rPr>
        <w:t>Concerns about self-neglect can</w:t>
      </w:r>
      <w:r w:rsidR="00225684" w:rsidRPr="009C46F4">
        <w:rPr>
          <w:rFonts w:ascii="Arial" w:hAnsi="Arial" w:cs="Arial"/>
          <w:sz w:val="28"/>
          <w:szCs w:val="28"/>
        </w:rPr>
        <w:t xml:space="preserve"> be referred to safeguardin</w:t>
      </w:r>
      <w:r w:rsidR="00213A20">
        <w:rPr>
          <w:rFonts w:ascii="Arial" w:hAnsi="Arial" w:cs="Arial"/>
          <w:sz w:val="28"/>
          <w:szCs w:val="28"/>
        </w:rPr>
        <w:t>g</w:t>
      </w:r>
      <w:r w:rsidR="00225684" w:rsidRPr="009C46F4">
        <w:rPr>
          <w:rFonts w:ascii="Arial" w:hAnsi="Arial" w:cs="Arial"/>
          <w:sz w:val="28"/>
          <w:szCs w:val="28"/>
        </w:rPr>
        <w:t>; however, the Care Act did not introduce any new compulsory powers of intervention</w:t>
      </w:r>
      <w:r w:rsidR="00213A20">
        <w:rPr>
          <w:rFonts w:ascii="Arial" w:hAnsi="Arial" w:cs="Arial"/>
          <w:sz w:val="28"/>
          <w:szCs w:val="28"/>
        </w:rPr>
        <w:t>. E</w:t>
      </w:r>
      <w:r w:rsidR="005B4C8B" w:rsidRPr="009C46F4">
        <w:rPr>
          <w:rFonts w:ascii="Arial" w:hAnsi="Arial" w:cs="Arial"/>
          <w:sz w:val="28"/>
          <w:szCs w:val="28"/>
        </w:rPr>
        <w:t xml:space="preserve">mpowerment and proportionality </w:t>
      </w:r>
      <w:r w:rsidR="00213A20">
        <w:rPr>
          <w:rFonts w:ascii="Arial" w:hAnsi="Arial" w:cs="Arial"/>
          <w:sz w:val="28"/>
          <w:szCs w:val="28"/>
        </w:rPr>
        <w:t>are key safeguarding principles.</w:t>
      </w:r>
    </w:p>
    <w:p w:rsidR="009C46F4" w:rsidRDefault="006E6163">
      <w:pPr>
        <w:rPr>
          <w:rFonts w:ascii="Arial" w:hAnsi="Arial" w:cs="Arial"/>
          <w:sz w:val="28"/>
          <w:szCs w:val="28"/>
        </w:rPr>
      </w:pPr>
      <w:r w:rsidRPr="009C46F4">
        <w:rPr>
          <w:rFonts w:ascii="Arial" w:hAnsi="Arial" w:cs="Arial"/>
          <w:sz w:val="28"/>
          <w:szCs w:val="28"/>
        </w:rPr>
        <w:t>Guidance and lessons taken</w:t>
      </w:r>
      <w:r w:rsidR="00213A20">
        <w:rPr>
          <w:rFonts w:ascii="Arial" w:hAnsi="Arial" w:cs="Arial"/>
          <w:sz w:val="28"/>
          <w:szCs w:val="28"/>
        </w:rPr>
        <w:t xml:space="preserve"> </w:t>
      </w:r>
      <w:r w:rsidRPr="009C46F4">
        <w:rPr>
          <w:rFonts w:ascii="Arial" w:hAnsi="Arial" w:cs="Arial"/>
          <w:sz w:val="28"/>
          <w:szCs w:val="28"/>
        </w:rPr>
        <w:t xml:space="preserve">from serious case reviews (now safeguarding adult reviews) </w:t>
      </w:r>
      <w:r w:rsidR="00213A20">
        <w:rPr>
          <w:rFonts w:ascii="Arial" w:hAnsi="Arial" w:cs="Arial"/>
          <w:sz w:val="28"/>
          <w:szCs w:val="28"/>
        </w:rPr>
        <w:t>suggest</w:t>
      </w:r>
      <w:r w:rsidRPr="009C46F4">
        <w:rPr>
          <w:rFonts w:ascii="Arial" w:hAnsi="Arial" w:cs="Arial"/>
          <w:sz w:val="28"/>
          <w:szCs w:val="28"/>
        </w:rPr>
        <w:t xml:space="preserve"> that where a person is at risk from sel</w:t>
      </w:r>
      <w:r w:rsidR="00BA5D49" w:rsidRPr="009C46F4">
        <w:rPr>
          <w:rFonts w:ascii="Arial" w:hAnsi="Arial" w:cs="Arial"/>
          <w:sz w:val="28"/>
          <w:szCs w:val="28"/>
        </w:rPr>
        <w:t>f-neglect, it is important to assess their mental capacity for cer</w:t>
      </w:r>
      <w:r w:rsidR="00F50109" w:rsidRPr="009C46F4">
        <w:rPr>
          <w:rFonts w:ascii="Arial" w:hAnsi="Arial" w:cs="Arial"/>
          <w:sz w:val="28"/>
          <w:szCs w:val="28"/>
        </w:rPr>
        <w:t xml:space="preserve">tain decisions (e.g. </w:t>
      </w:r>
      <w:r w:rsidR="00F27242" w:rsidRPr="009C46F4">
        <w:rPr>
          <w:rFonts w:ascii="Arial" w:hAnsi="Arial" w:cs="Arial"/>
          <w:sz w:val="28"/>
          <w:szCs w:val="28"/>
        </w:rPr>
        <w:t>capacity to refuse support</w:t>
      </w:r>
      <w:r w:rsidR="00F50109" w:rsidRPr="009C46F4">
        <w:rPr>
          <w:rFonts w:ascii="Arial" w:hAnsi="Arial" w:cs="Arial"/>
          <w:sz w:val="28"/>
          <w:szCs w:val="28"/>
        </w:rPr>
        <w:t>)</w:t>
      </w:r>
      <w:r w:rsidR="00F27242" w:rsidRPr="009C46F4">
        <w:rPr>
          <w:rFonts w:ascii="Arial" w:hAnsi="Arial" w:cs="Arial"/>
          <w:sz w:val="28"/>
          <w:szCs w:val="28"/>
        </w:rPr>
        <w:t xml:space="preserve">. Although an unwise decision cannot be used as evidence of lack of capacity, </w:t>
      </w:r>
      <w:r w:rsidR="005B4C8B" w:rsidRPr="009C46F4">
        <w:rPr>
          <w:rFonts w:ascii="Arial" w:hAnsi="Arial" w:cs="Arial"/>
          <w:sz w:val="28"/>
          <w:szCs w:val="28"/>
        </w:rPr>
        <w:t xml:space="preserve">a series of unwise </w:t>
      </w:r>
    </w:p>
    <w:p w:rsidR="009C46F4" w:rsidRDefault="009C46F4">
      <w:pPr>
        <w:rPr>
          <w:rFonts w:ascii="Arial" w:hAnsi="Arial" w:cs="Arial"/>
          <w:sz w:val="28"/>
          <w:szCs w:val="28"/>
        </w:rPr>
      </w:pPr>
    </w:p>
    <w:p w:rsidR="009C46F4" w:rsidRDefault="000107CD" w:rsidP="000107CD">
      <w:pPr>
        <w:tabs>
          <w:tab w:val="left" w:pos="80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:rsidR="009C46F4" w:rsidRDefault="009C46F4">
      <w:pPr>
        <w:rPr>
          <w:rFonts w:ascii="Arial" w:hAnsi="Arial" w:cs="Arial"/>
          <w:sz w:val="28"/>
          <w:szCs w:val="28"/>
        </w:rPr>
      </w:pPr>
    </w:p>
    <w:p w:rsidR="00213A20" w:rsidRDefault="00213A20">
      <w:pPr>
        <w:rPr>
          <w:rFonts w:ascii="Arial" w:hAnsi="Arial" w:cs="Arial"/>
          <w:sz w:val="28"/>
          <w:szCs w:val="28"/>
        </w:rPr>
      </w:pPr>
    </w:p>
    <w:p w:rsidR="00F27242" w:rsidRPr="009C46F4" w:rsidRDefault="005B4C8B">
      <w:pPr>
        <w:rPr>
          <w:rFonts w:ascii="Arial" w:hAnsi="Arial" w:cs="Arial"/>
          <w:sz w:val="28"/>
          <w:szCs w:val="28"/>
        </w:rPr>
      </w:pPr>
      <w:r w:rsidRPr="009C46F4">
        <w:rPr>
          <w:rFonts w:ascii="Arial" w:hAnsi="Arial" w:cs="Arial"/>
          <w:sz w:val="28"/>
          <w:szCs w:val="28"/>
        </w:rPr>
        <w:t>decisions</w:t>
      </w:r>
      <w:r w:rsidR="00F27242" w:rsidRPr="009C46F4">
        <w:rPr>
          <w:rFonts w:ascii="Arial" w:hAnsi="Arial" w:cs="Arial"/>
          <w:sz w:val="28"/>
          <w:szCs w:val="28"/>
        </w:rPr>
        <w:t xml:space="preserve"> raise sufficient con</w:t>
      </w:r>
      <w:r w:rsidR="00F50109" w:rsidRPr="009C46F4">
        <w:rPr>
          <w:rFonts w:ascii="Arial" w:hAnsi="Arial" w:cs="Arial"/>
          <w:sz w:val="28"/>
          <w:szCs w:val="28"/>
        </w:rPr>
        <w:t>cern to justify an assessment</w:t>
      </w:r>
      <w:r w:rsidR="00F27242" w:rsidRPr="009C46F4">
        <w:rPr>
          <w:rFonts w:ascii="Arial" w:hAnsi="Arial" w:cs="Arial"/>
          <w:sz w:val="28"/>
          <w:szCs w:val="28"/>
        </w:rPr>
        <w:t>. The assessor must conclude</w:t>
      </w:r>
      <w:r w:rsidRPr="009C46F4">
        <w:rPr>
          <w:rFonts w:ascii="Arial" w:hAnsi="Arial" w:cs="Arial"/>
          <w:sz w:val="28"/>
          <w:szCs w:val="28"/>
        </w:rPr>
        <w:t>,</w:t>
      </w:r>
      <w:r w:rsidR="00F27242" w:rsidRPr="009C46F4">
        <w:rPr>
          <w:rFonts w:ascii="Arial" w:hAnsi="Arial" w:cs="Arial"/>
          <w:sz w:val="28"/>
          <w:szCs w:val="28"/>
        </w:rPr>
        <w:t xml:space="preserve"> on balance</w:t>
      </w:r>
      <w:r w:rsidRPr="009C46F4">
        <w:rPr>
          <w:rFonts w:ascii="Arial" w:hAnsi="Arial" w:cs="Arial"/>
          <w:sz w:val="28"/>
          <w:szCs w:val="28"/>
        </w:rPr>
        <w:t>,</w:t>
      </w:r>
      <w:r w:rsidR="00F27242" w:rsidRPr="009C46F4">
        <w:rPr>
          <w:rFonts w:ascii="Arial" w:hAnsi="Arial" w:cs="Arial"/>
          <w:sz w:val="28"/>
          <w:szCs w:val="28"/>
        </w:rPr>
        <w:t xml:space="preserve"> whether any inability to understand or weigh up information is caused by an impairment of the mind. </w:t>
      </w:r>
      <w:r w:rsidR="00CF7416">
        <w:rPr>
          <w:rFonts w:ascii="Arial" w:hAnsi="Arial" w:cs="Arial"/>
          <w:sz w:val="28"/>
          <w:szCs w:val="28"/>
        </w:rPr>
        <w:t>A</w:t>
      </w:r>
      <w:r w:rsidR="00F50109" w:rsidRPr="009C46F4">
        <w:rPr>
          <w:rFonts w:ascii="Arial" w:hAnsi="Arial" w:cs="Arial"/>
          <w:sz w:val="28"/>
          <w:szCs w:val="28"/>
        </w:rPr>
        <w:t xml:space="preserve"> conclusion </w:t>
      </w:r>
      <w:r w:rsidR="00F27242" w:rsidRPr="009C46F4">
        <w:rPr>
          <w:rFonts w:ascii="Arial" w:hAnsi="Arial" w:cs="Arial"/>
          <w:sz w:val="28"/>
          <w:szCs w:val="28"/>
        </w:rPr>
        <w:t>that a person has capacity to make relevant decis</w:t>
      </w:r>
      <w:r w:rsidRPr="009C46F4">
        <w:rPr>
          <w:rFonts w:ascii="Arial" w:hAnsi="Arial" w:cs="Arial"/>
          <w:sz w:val="28"/>
          <w:szCs w:val="28"/>
        </w:rPr>
        <w:t>ions</w:t>
      </w:r>
      <w:r w:rsidR="00F27242" w:rsidRPr="009C46F4">
        <w:rPr>
          <w:rFonts w:ascii="Arial" w:hAnsi="Arial" w:cs="Arial"/>
          <w:sz w:val="28"/>
          <w:szCs w:val="28"/>
        </w:rPr>
        <w:t xml:space="preserve"> does not </w:t>
      </w:r>
      <w:r w:rsidRPr="009C46F4">
        <w:rPr>
          <w:rFonts w:ascii="Arial" w:hAnsi="Arial" w:cs="Arial"/>
          <w:sz w:val="28"/>
          <w:szCs w:val="28"/>
        </w:rPr>
        <w:t>mean</w:t>
      </w:r>
      <w:r w:rsidR="00F27242" w:rsidRPr="009C46F4">
        <w:rPr>
          <w:rFonts w:ascii="Arial" w:hAnsi="Arial" w:cs="Arial"/>
          <w:sz w:val="28"/>
          <w:szCs w:val="28"/>
        </w:rPr>
        <w:t xml:space="preserve"> that there is no further expectation on professionals as regards their duty of care.</w:t>
      </w:r>
      <w:r w:rsidR="00CF7416">
        <w:rPr>
          <w:rFonts w:ascii="Arial" w:hAnsi="Arial" w:cs="Arial"/>
          <w:sz w:val="28"/>
          <w:szCs w:val="28"/>
        </w:rPr>
        <w:t xml:space="preserve"> Multi-agency risk management procedures should be used to consider whether any alternative support can be offered. </w:t>
      </w:r>
    </w:p>
    <w:p w:rsidR="00D05DD9" w:rsidRDefault="00F27242">
      <w:pPr>
        <w:rPr>
          <w:rFonts w:ascii="Arial" w:hAnsi="Arial" w:cs="Arial"/>
          <w:sz w:val="28"/>
          <w:szCs w:val="28"/>
        </w:rPr>
      </w:pPr>
      <w:r w:rsidRPr="009C46F4">
        <w:rPr>
          <w:rFonts w:ascii="Arial" w:hAnsi="Arial" w:cs="Arial"/>
          <w:sz w:val="28"/>
          <w:szCs w:val="28"/>
        </w:rPr>
        <w:t xml:space="preserve">The work of Michael Preston-Shoot is now frequently cited in relation to self-neglect and capacity. Preston-Shoot points out that what is often absent from </w:t>
      </w:r>
      <w:r w:rsidR="008E316F" w:rsidRPr="009C46F4">
        <w:rPr>
          <w:rFonts w:ascii="Arial" w:hAnsi="Arial" w:cs="Arial"/>
          <w:sz w:val="28"/>
          <w:szCs w:val="28"/>
        </w:rPr>
        <w:t xml:space="preserve">analysis is consideration of executive capacity. Executive capacity is not the same as executive brain function or mental capacity as described in the MCA 2005. </w:t>
      </w:r>
      <w:r w:rsidR="00CF7416">
        <w:rPr>
          <w:rFonts w:ascii="Arial" w:hAnsi="Arial" w:cs="Arial"/>
          <w:sz w:val="28"/>
          <w:szCs w:val="28"/>
        </w:rPr>
        <w:t>The phrase</w:t>
      </w:r>
      <w:r w:rsidR="008E316F" w:rsidRPr="009C46F4">
        <w:rPr>
          <w:rFonts w:ascii="Arial" w:hAnsi="Arial" w:cs="Arial"/>
          <w:sz w:val="28"/>
          <w:szCs w:val="28"/>
        </w:rPr>
        <w:t xml:space="preserve"> refer</w:t>
      </w:r>
      <w:r w:rsidR="00CF7416">
        <w:rPr>
          <w:rFonts w:ascii="Arial" w:hAnsi="Arial" w:cs="Arial"/>
          <w:sz w:val="28"/>
          <w:szCs w:val="28"/>
        </w:rPr>
        <w:t>s</w:t>
      </w:r>
      <w:r w:rsidR="008E316F" w:rsidRPr="009C46F4">
        <w:rPr>
          <w:rFonts w:ascii="Arial" w:hAnsi="Arial" w:cs="Arial"/>
          <w:sz w:val="28"/>
          <w:szCs w:val="28"/>
        </w:rPr>
        <w:t xml:space="preserve"> to the ability to carry out decisions and intentions, especially in relation to one’s own welfare. It is therefore best p</w:t>
      </w:r>
      <w:r w:rsidR="00D05DD9">
        <w:rPr>
          <w:rFonts w:ascii="Arial" w:hAnsi="Arial" w:cs="Arial"/>
          <w:sz w:val="28"/>
          <w:szCs w:val="28"/>
        </w:rPr>
        <w:t>ractice to consider this ability in addition to mental capacity</w:t>
      </w:r>
      <w:r w:rsidR="008E316F" w:rsidRPr="009C46F4">
        <w:rPr>
          <w:rFonts w:ascii="Arial" w:hAnsi="Arial" w:cs="Arial"/>
          <w:sz w:val="28"/>
          <w:szCs w:val="28"/>
        </w:rPr>
        <w:t xml:space="preserve"> </w:t>
      </w:r>
      <w:r w:rsidR="00DD2275">
        <w:rPr>
          <w:rFonts w:ascii="Arial" w:hAnsi="Arial" w:cs="Arial"/>
          <w:sz w:val="28"/>
          <w:szCs w:val="28"/>
        </w:rPr>
        <w:t>when a person</w:t>
      </w:r>
      <w:r w:rsidR="00D05DD9">
        <w:rPr>
          <w:rFonts w:ascii="Arial" w:hAnsi="Arial" w:cs="Arial"/>
          <w:sz w:val="28"/>
          <w:szCs w:val="28"/>
        </w:rPr>
        <w:t xml:space="preserve"> is </w:t>
      </w:r>
      <w:r w:rsidR="004250CB" w:rsidRPr="009C46F4">
        <w:rPr>
          <w:rFonts w:ascii="Arial" w:hAnsi="Arial" w:cs="Arial"/>
          <w:sz w:val="28"/>
          <w:szCs w:val="28"/>
        </w:rPr>
        <w:t xml:space="preserve">at </w:t>
      </w:r>
      <w:r w:rsidR="008E316F" w:rsidRPr="009C46F4">
        <w:rPr>
          <w:rFonts w:ascii="Arial" w:hAnsi="Arial" w:cs="Arial"/>
          <w:sz w:val="28"/>
          <w:szCs w:val="28"/>
        </w:rPr>
        <w:t xml:space="preserve">risk from self-neglect. </w:t>
      </w:r>
    </w:p>
    <w:p w:rsidR="004250CB" w:rsidRPr="009C46F4" w:rsidRDefault="008E316F">
      <w:pPr>
        <w:rPr>
          <w:rFonts w:ascii="Arial" w:hAnsi="Arial" w:cs="Arial"/>
          <w:sz w:val="28"/>
          <w:szCs w:val="28"/>
        </w:rPr>
      </w:pPr>
      <w:r w:rsidRPr="009C46F4">
        <w:rPr>
          <w:rFonts w:ascii="Arial" w:hAnsi="Arial" w:cs="Arial"/>
          <w:sz w:val="28"/>
          <w:szCs w:val="28"/>
        </w:rPr>
        <w:t xml:space="preserve">Identifying that a person lacks executive capacity would not enable professionals to rely upon the legal framework of the MCA to intervene without consent to bring about a person’s best interest. </w:t>
      </w:r>
      <w:r w:rsidR="00D05DD9">
        <w:rPr>
          <w:rFonts w:ascii="Arial" w:hAnsi="Arial" w:cs="Arial"/>
          <w:sz w:val="28"/>
          <w:szCs w:val="28"/>
        </w:rPr>
        <w:t>While t</w:t>
      </w:r>
      <w:r w:rsidR="00CF7416">
        <w:rPr>
          <w:rFonts w:ascii="Arial" w:hAnsi="Arial" w:cs="Arial"/>
          <w:sz w:val="28"/>
          <w:szCs w:val="28"/>
        </w:rPr>
        <w:t>here is no separate legal f</w:t>
      </w:r>
      <w:r w:rsidR="00D05DD9">
        <w:rPr>
          <w:rFonts w:ascii="Arial" w:hAnsi="Arial" w:cs="Arial"/>
          <w:sz w:val="28"/>
          <w:szCs w:val="28"/>
        </w:rPr>
        <w:t>ramework for intervention</w:t>
      </w:r>
      <w:r w:rsidR="00CF7416">
        <w:rPr>
          <w:rFonts w:ascii="Arial" w:hAnsi="Arial" w:cs="Arial"/>
          <w:sz w:val="28"/>
          <w:szCs w:val="28"/>
        </w:rPr>
        <w:t xml:space="preserve"> without consent for someone who lacks executive capac</w:t>
      </w:r>
      <w:r w:rsidR="00D05DD9">
        <w:rPr>
          <w:rFonts w:ascii="Arial" w:hAnsi="Arial" w:cs="Arial"/>
          <w:sz w:val="28"/>
          <w:szCs w:val="28"/>
        </w:rPr>
        <w:t>ity,</w:t>
      </w:r>
      <w:r w:rsidR="00CF7416">
        <w:rPr>
          <w:rFonts w:ascii="Arial" w:hAnsi="Arial" w:cs="Arial"/>
          <w:sz w:val="28"/>
          <w:szCs w:val="28"/>
        </w:rPr>
        <w:t xml:space="preserve"> identifying the</w:t>
      </w:r>
      <w:r w:rsidRPr="009C46F4">
        <w:rPr>
          <w:rFonts w:ascii="Arial" w:hAnsi="Arial" w:cs="Arial"/>
          <w:sz w:val="28"/>
          <w:szCs w:val="28"/>
        </w:rPr>
        <w:t xml:space="preserve"> deficit </w:t>
      </w:r>
      <w:r w:rsidR="00CF7416">
        <w:rPr>
          <w:rFonts w:ascii="Arial" w:hAnsi="Arial" w:cs="Arial"/>
          <w:sz w:val="28"/>
          <w:szCs w:val="28"/>
        </w:rPr>
        <w:t>should</w:t>
      </w:r>
      <w:r w:rsidRPr="009C46F4">
        <w:rPr>
          <w:rFonts w:ascii="Arial" w:hAnsi="Arial" w:cs="Arial"/>
          <w:sz w:val="28"/>
          <w:szCs w:val="28"/>
        </w:rPr>
        <w:t xml:space="preserve"> </w:t>
      </w:r>
      <w:r w:rsidR="004250CB" w:rsidRPr="009C46F4">
        <w:rPr>
          <w:rFonts w:ascii="Arial" w:hAnsi="Arial" w:cs="Arial"/>
          <w:sz w:val="28"/>
          <w:szCs w:val="28"/>
        </w:rPr>
        <w:t xml:space="preserve">inform </w:t>
      </w:r>
      <w:r w:rsidR="00CF7416">
        <w:rPr>
          <w:rFonts w:ascii="Arial" w:hAnsi="Arial" w:cs="Arial"/>
          <w:sz w:val="28"/>
          <w:szCs w:val="28"/>
        </w:rPr>
        <w:t>risk management</w:t>
      </w:r>
      <w:r w:rsidR="004250CB" w:rsidRPr="009C46F4">
        <w:rPr>
          <w:rFonts w:ascii="Arial" w:hAnsi="Arial" w:cs="Arial"/>
          <w:sz w:val="28"/>
          <w:szCs w:val="28"/>
        </w:rPr>
        <w:t>.</w:t>
      </w:r>
      <w:r w:rsidR="00CF7416">
        <w:rPr>
          <w:rFonts w:ascii="Arial" w:hAnsi="Arial" w:cs="Arial"/>
          <w:sz w:val="28"/>
          <w:szCs w:val="28"/>
        </w:rPr>
        <w:t xml:space="preserve"> </w:t>
      </w:r>
      <w:r w:rsidR="00DD2275">
        <w:rPr>
          <w:rFonts w:ascii="Arial" w:hAnsi="Arial" w:cs="Arial"/>
          <w:sz w:val="28"/>
          <w:szCs w:val="28"/>
        </w:rPr>
        <w:t xml:space="preserve">It may </w:t>
      </w:r>
      <w:r w:rsidR="00D05DD9">
        <w:rPr>
          <w:rFonts w:ascii="Arial" w:hAnsi="Arial" w:cs="Arial"/>
          <w:sz w:val="28"/>
          <w:szCs w:val="28"/>
        </w:rPr>
        <w:t>be support can be adapted to address this concern.</w:t>
      </w:r>
    </w:p>
    <w:p w:rsidR="004250CB" w:rsidRPr="009C46F4" w:rsidRDefault="004250CB">
      <w:pPr>
        <w:rPr>
          <w:rFonts w:ascii="Arial" w:hAnsi="Arial" w:cs="Arial"/>
          <w:sz w:val="28"/>
          <w:szCs w:val="28"/>
        </w:rPr>
      </w:pPr>
      <w:r w:rsidRPr="009C46F4">
        <w:rPr>
          <w:rFonts w:ascii="Arial" w:hAnsi="Arial" w:cs="Arial"/>
          <w:sz w:val="28"/>
          <w:szCs w:val="28"/>
        </w:rPr>
        <w:t>All local authority safeguarding boards in the Devon area recognise and have policies relating to self-neglect. Further resources can be found at:</w:t>
      </w:r>
    </w:p>
    <w:p w:rsidR="00D05DD9" w:rsidRDefault="001B2864">
      <w:pPr>
        <w:rPr>
          <w:rFonts w:ascii="Arial" w:hAnsi="Arial" w:cs="Arial"/>
          <w:sz w:val="28"/>
          <w:szCs w:val="28"/>
        </w:rPr>
      </w:pPr>
      <w:hyperlink r:id="rId9" w:history="1">
        <w:r w:rsidR="004250CB" w:rsidRPr="00D05DD9">
          <w:rPr>
            <w:rStyle w:val="Hyperlink"/>
            <w:rFonts w:ascii="Arial" w:hAnsi="Arial" w:cs="Arial"/>
            <w:sz w:val="28"/>
            <w:szCs w:val="28"/>
          </w:rPr>
          <w:t>For Plymouth</w:t>
        </w:r>
      </w:hyperlink>
      <w:r w:rsidR="004250CB" w:rsidRPr="009C46F4">
        <w:rPr>
          <w:rFonts w:ascii="Arial" w:hAnsi="Arial" w:cs="Arial"/>
          <w:sz w:val="28"/>
          <w:szCs w:val="28"/>
        </w:rPr>
        <w:t xml:space="preserve"> </w:t>
      </w:r>
      <w:r w:rsidR="000F6ED8">
        <w:rPr>
          <w:rFonts w:ascii="Arial" w:hAnsi="Arial" w:cs="Arial"/>
          <w:sz w:val="28"/>
          <w:szCs w:val="28"/>
        </w:rPr>
        <w:t>– see especially Appendix 3 Creative Solutions Forum</w:t>
      </w:r>
    </w:p>
    <w:p w:rsidR="004250CB" w:rsidRPr="009C46F4" w:rsidRDefault="001B2864">
      <w:pPr>
        <w:rPr>
          <w:rFonts w:ascii="Arial" w:hAnsi="Arial" w:cs="Arial"/>
          <w:sz w:val="28"/>
          <w:szCs w:val="28"/>
        </w:rPr>
      </w:pPr>
      <w:hyperlink r:id="rId10" w:history="1">
        <w:r w:rsidR="004250CB" w:rsidRPr="00D05DD9">
          <w:rPr>
            <w:rStyle w:val="Hyperlink"/>
            <w:rFonts w:ascii="Arial" w:hAnsi="Arial" w:cs="Arial"/>
            <w:sz w:val="28"/>
            <w:szCs w:val="28"/>
          </w:rPr>
          <w:t>For Torbay</w:t>
        </w:r>
      </w:hyperlink>
      <w:r w:rsidR="004250CB" w:rsidRPr="009C46F4">
        <w:rPr>
          <w:rFonts w:ascii="Arial" w:hAnsi="Arial" w:cs="Arial"/>
          <w:sz w:val="28"/>
          <w:szCs w:val="28"/>
        </w:rPr>
        <w:t xml:space="preserve"> </w:t>
      </w:r>
    </w:p>
    <w:p w:rsidR="004250CB" w:rsidRPr="00D05DD9" w:rsidRDefault="00D05DD9">
      <w:pPr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"https://new.devon.gov.uk/devonsafeguardingadultsboard/policy"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4250CB" w:rsidRPr="00D05DD9">
        <w:rPr>
          <w:rStyle w:val="Hyperlink"/>
          <w:rFonts w:ascii="Arial" w:hAnsi="Arial" w:cs="Arial"/>
          <w:sz w:val="28"/>
          <w:szCs w:val="28"/>
        </w:rPr>
        <w:t xml:space="preserve">For Devon County Council </w:t>
      </w:r>
    </w:p>
    <w:p w:rsidR="000E1765" w:rsidRDefault="00D05DD9" w:rsidP="000E176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If you </w:t>
      </w:r>
      <w:r w:rsidR="000E1765">
        <w:rPr>
          <w:rFonts w:ascii="Arial" w:hAnsi="Arial" w:cs="Arial"/>
          <w:sz w:val="28"/>
          <w:szCs w:val="28"/>
        </w:rPr>
        <w:t>would like advice relating to this briefing, please contact:</w:t>
      </w:r>
    </w:p>
    <w:p w:rsidR="000E1765" w:rsidRPr="000E1765" w:rsidRDefault="000E1765" w:rsidP="000E1765">
      <w:pPr>
        <w:spacing w:after="0"/>
        <w:rPr>
          <w:rFonts w:ascii="Arial" w:hAnsi="Arial" w:cs="Arial"/>
          <w:sz w:val="16"/>
          <w:szCs w:val="16"/>
        </w:rPr>
      </w:pPr>
    </w:p>
    <w:p w:rsidR="000E1765" w:rsidRPr="000E1765" w:rsidRDefault="000E1765" w:rsidP="000E1765">
      <w:pPr>
        <w:spacing w:after="0"/>
        <w:rPr>
          <w:rFonts w:ascii="Arial" w:hAnsi="Arial" w:cs="Arial"/>
          <w:sz w:val="24"/>
          <w:szCs w:val="24"/>
        </w:rPr>
      </w:pPr>
      <w:r w:rsidRPr="000E1765">
        <w:rPr>
          <w:rFonts w:ascii="Arial" w:hAnsi="Arial" w:cs="Arial"/>
          <w:bCs/>
          <w:sz w:val="24"/>
          <w:szCs w:val="24"/>
        </w:rPr>
        <w:t xml:space="preserve">For Plymouth and NEW Devon -  </w:t>
      </w:r>
      <w:hyperlink r:id="rId11" w:history="1">
        <w:r w:rsidRPr="000E1765">
          <w:rPr>
            <w:rStyle w:val="Hyperlink"/>
            <w:rFonts w:ascii="Arial" w:hAnsi="Arial" w:cs="Arial"/>
            <w:sz w:val="24"/>
            <w:szCs w:val="24"/>
          </w:rPr>
          <w:t>D-CCG.SafeGuardPrimeCare@nhs.net</w:t>
        </w:r>
      </w:hyperlink>
      <w:r w:rsidRPr="000E1765">
        <w:rPr>
          <w:rStyle w:val="Hyperlink"/>
          <w:rFonts w:ascii="Arial" w:hAnsi="Arial" w:cs="Arial"/>
          <w:sz w:val="24"/>
          <w:szCs w:val="24"/>
        </w:rPr>
        <w:t xml:space="preserve">  </w:t>
      </w:r>
    </w:p>
    <w:p w:rsidR="000E1765" w:rsidRPr="000E1765" w:rsidRDefault="000E1765" w:rsidP="000E1765">
      <w:pPr>
        <w:pStyle w:val="Default"/>
      </w:pPr>
      <w:r w:rsidRPr="000E1765">
        <w:t xml:space="preserve">For Torbay and South Devon – </w:t>
      </w:r>
      <w:hyperlink r:id="rId12" w:history="1">
        <w:r w:rsidRPr="000E1765">
          <w:rPr>
            <w:rStyle w:val="Hyperlink"/>
          </w:rPr>
          <w:t>libbypotter@nhs.net</w:t>
        </w:r>
      </w:hyperlink>
    </w:p>
    <w:p w:rsidR="00C77D4D" w:rsidRPr="00D05DD9" w:rsidRDefault="00C77D4D" w:rsidP="001C6019">
      <w:p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4"/>
          <w:szCs w:val="24"/>
        </w:rPr>
      </w:pPr>
    </w:p>
    <w:sectPr w:rsidR="00C77D4D" w:rsidRPr="00D05DD9" w:rsidSect="00F820FC">
      <w:headerReference w:type="default" r:id="rId13"/>
      <w:footerReference w:type="defaul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2D" w:rsidRDefault="00AA1E2D" w:rsidP="00710B9C">
      <w:pPr>
        <w:spacing w:after="0" w:line="240" w:lineRule="auto"/>
      </w:pPr>
      <w:r>
        <w:separator/>
      </w:r>
    </w:p>
  </w:endnote>
  <w:endnote w:type="continuationSeparator" w:id="0">
    <w:p w:rsidR="00AA1E2D" w:rsidRDefault="00AA1E2D" w:rsidP="0071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E1" w:rsidRDefault="004130E1" w:rsidP="00A045CA">
    <w:pPr>
      <w:pStyle w:val="NoSpacing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2D" w:rsidRDefault="00AA1E2D" w:rsidP="00710B9C">
      <w:pPr>
        <w:spacing w:after="0" w:line="240" w:lineRule="auto"/>
      </w:pPr>
      <w:r>
        <w:separator/>
      </w:r>
    </w:p>
  </w:footnote>
  <w:footnote w:type="continuationSeparator" w:id="0">
    <w:p w:rsidR="00AA1E2D" w:rsidRDefault="00AA1E2D" w:rsidP="0071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6B" w:rsidRDefault="00EE49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AF722" wp14:editId="77A7AA57">
          <wp:simplePos x="0" y="0"/>
          <wp:positionH relativeFrom="column">
            <wp:posOffset>2297799</wp:posOffset>
          </wp:positionH>
          <wp:positionV relativeFrom="paragraph">
            <wp:posOffset>-430170</wp:posOffset>
          </wp:positionV>
          <wp:extent cx="4352103" cy="1959267"/>
          <wp:effectExtent l="0" t="0" r="0" b="3175"/>
          <wp:wrapNone/>
          <wp:docPr id="1" name="Picture 1" descr="C:\Data\Editor\Pictures\NEW Devon CCG\General\Graphic Design\logos\NEW Devon CCG logos\Northern, Eastern and Western Devon CCG\Office Use\Northern, Eastern and Western Devon CCG GÇô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Editor\Pictures\NEW Devon CCG\General\Graphic Design\logos\NEW Devon CCG logos\Northern, Eastern and Western Devon CCG\Office Use\Northern, Eastern and Western Devon CCG GÇô RGB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103" cy="1959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8CB"/>
    <w:multiLevelType w:val="hybridMultilevel"/>
    <w:tmpl w:val="8FDC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FB"/>
    <w:rsid w:val="00006E72"/>
    <w:rsid w:val="000107CD"/>
    <w:rsid w:val="000256ED"/>
    <w:rsid w:val="00061BD2"/>
    <w:rsid w:val="00074BAC"/>
    <w:rsid w:val="000E1765"/>
    <w:rsid w:val="000F40BC"/>
    <w:rsid w:val="000F6ED8"/>
    <w:rsid w:val="001B2864"/>
    <w:rsid w:val="001C6019"/>
    <w:rsid w:val="00213A20"/>
    <w:rsid w:val="00224457"/>
    <w:rsid w:val="00225684"/>
    <w:rsid w:val="00240A09"/>
    <w:rsid w:val="00264BBF"/>
    <w:rsid w:val="002B710E"/>
    <w:rsid w:val="00327D64"/>
    <w:rsid w:val="003409AE"/>
    <w:rsid w:val="003457E7"/>
    <w:rsid w:val="00355624"/>
    <w:rsid w:val="0036403A"/>
    <w:rsid w:val="00402C67"/>
    <w:rsid w:val="004130E1"/>
    <w:rsid w:val="004250CB"/>
    <w:rsid w:val="004B2FBD"/>
    <w:rsid w:val="0050681E"/>
    <w:rsid w:val="00506CDD"/>
    <w:rsid w:val="005B4C8B"/>
    <w:rsid w:val="005B7D10"/>
    <w:rsid w:val="00615446"/>
    <w:rsid w:val="00632E7C"/>
    <w:rsid w:val="00691A8D"/>
    <w:rsid w:val="006C5A3F"/>
    <w:rsid w:val="006E6163"/>
    <w:rsid w:val="00710B9C"/>
    <w:rsid w:val="00720BFB"/>
    <w:rsid w:val="00731B02"/>
    <w:rsid w:val="00772CBE"/>
    <w:rsid w:val="00795861"/>
    <w:rsid w:val="00800367"/>
    <w:rsid w:val="008A13D3"/>
    <w:rsid w:val="008E316F"/>
    <w:rsid w:val="009B1883"/>
    <w:rsid w:val="009C46F4"/>
    <w:rsid w:val="00A045CA"/>
    <w:rsid w:val="00A53EC7"/>
    <w:rsid w:val="00A829B6"/>
    <w:rsid w:val="00AA1E2D"/>
    <w:rsid w:val="00AD0D13"/>
    <w:rsid w:val="00BA5D49"/>
    <w:rsid w:val="00C64866"/>
    <w:rsid w:val="00C77D4D"/>
    <w:rsid w:val="00CD5B52"/>
    <w:rsid w:val="00CF7416"/>
    <w:rsid w:val="00D05DD9"/>
    <w:rsid w:val="00D373A3"/>
    <w:rsid w:val="00DD2275"/>
    <w:rsid w:val="00E52B71"/>
    <w:rsid w:val="00E63891"/>
    <w:rsid w:val="00E7042E"/>
    <w:rsid w:val="00EE496B"/>
    <w:rsid w:val="00EF7782"/>
    <w:rsid w:val="00F27242"/>
    <w:rsid w:val="00F50109"/>
    <w:rsid w:val="00F60484"/>
    <w:rsid w:val="00F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0B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9C"/>
  </w:style>
  <w:style w:type="paragraph" w:styleId="Footer">
    <w:name w:val="footer"/>
    <w:basedOn w:val="Normal"/>
    <w:link w:val="FooterChar"/>
    <w:uiPriority w:val="99"/>
    <w:unhideWhenUsed/>
    <w:rsid w:val="0071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9C"/>
  </w:style>
  <w:style w:type="character" w:styleId="Hyperlink">
    <w:name w:val="Hyperlink"/>
    <w:basedOn w:val="DefaultParagraphFont"/>
    <w:uiPriority w:val="99"/>
    <w:unhideWhenUsed/>
    <w:rsid w:val="00506C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2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B7D10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rsid w:val="005B7D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77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05DD9"/>
    <w:rPr>
      <w:color w:val="800080" w:themeColor="followedHyperlink"/>
      <w:u w:val="single"/>
    </w:rPr>
  </w:style>
  <w:style w:type="paragraph" w:customStyle="1" w:styleId="Default">
    <w:name w:val="Default"/>
    <w:rsid w:val="000E176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0B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9C"/>
  </w:style>
  <w:style w:type="paragraph" w:styleId="Footer">
    <w:name w:val="footer"/>
    <w:basedOn w:val="Normal"/>
    <w:link w:val="FooterChar"/>
    <w:uiPriority w:val="99"/>
    <w:unhideWhenUsed/>
    <w:rsid w:val="0071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9C"/>
  </w:style>
  <w:style w:type="character" w:styleId="Hyperlink">
    <w:name w:val="Hyperlink"/>
    <w:basedOn w:val="DefaultParagraphFont"/>
    <w:uiPriority w:val="99"/>
    <w:unhideWhenUsed/>
    <w:rsid w:val="00506C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2F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B7D10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rsid w:val="005B7D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77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05DD9"/>
    <w:rPr>
      <w:color w:val="800080" w:themeColor="followedHyperlink"/>
      <w:u w:val="single"/>
    </w:rPr>
  </w:style>
  <w:style w:type="paragraph" w:customStyle="1" w:styleId="Default">
    <w:name w:val="Default"/>
    <w:rsid w:val="000E176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bbypotter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-CCG.SafeGuardPrimeCare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orbayandsouthdevon.nhs.uk/uploads/adults-journey-self-neglect-initial-screening-too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ysab.proceduresonline.com/chapters/p_risk_man_self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ED77-FBE7-4AD7-842C-797DE528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RD&amp;E Foundation Trust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holdenl</dc:creator>
  <cp:lastModifiedBy>Kevin Bishop</cp:lastModifiedBy>
  <cp:revision>2</cp:revision>
  <cp:lastPrinted>2016-02-02T10:58:00Z</cp:lastPrinted>
  <dcterms:created xsi:type="dcterms:W3CDTF">2018-01-19T09:54:00Z</dcterms:created>
  <dcterms:modified xsi:type="dcterms:W3CDTF">2018-01-19T09:54:00Z</dcterms:modified>
</cp:coreProperties>
</file>