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2DB9" w14:textId="77777777" w:rsidR="00DA3D65" w:rsidRPr="00862974" w:rsidRDefault="007D6F42" w:rsidP="007D6F42">
      <w:pPr>
        <w:pStyle w:val="Default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8F01208" wp14:editId="1CF07E79">
            <wp:simplePos x="0" y="0"/>
            <wp:positionH relativeFrom="column">
              <wp:posOffset>4406900</wp:posOffset>
            </wp:positionH>
            <wp:positionV relativeFrom="paragraph">
              <wp:posOffset>-342900</wp:posOffset>
            </wp:positionV>
            <wp:extent cx="2565400" cy="1181100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134" w:rsidRPr="00862974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13098F6" wp14:editId="5068E743">
                <wp:simplePos x="0" y="0"/>
                <wp:positionH relativeFrom="column">
                  <wp:posOffset>-6496050</wp:posOffset>
                </wp:positionH>
                <wp:positionV relativeFrom="paragraph">
                  <wp:posOffset>-563880</wp:posOffset>
                </wp:positionV>
                <wp:extent cx="10201275" cy="0"/>
                <wp:effectExtent l="38100" t="38100" r="28575" b="38100"/>
                <wp:wrapNone/>
                <wp:docPr id="3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01275" cy="0"/>
                        </a:xfrm>
                        <a:prstGeom prst="line">
                          <a:avLst/>
                        </a:prstGeom>
                        <a:ln w="28575" cap="sq" cmpd="sng">
                          <a:prstDash val="solid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EA6A8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11.5pt,-44.4pt" to="291.75pt,-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" strokecolor="#4579b8 [3044]" strokeweight="2.25pt">
                <v:stroke endcap="square"/>
                <o:lock v:ext="edit" shapetype="f"/>
              </v:line>
            </w:pict>
          </mc:Fallback>
        </mc:AlternateContent>
      </w:r>
    </w:p>
    <w:p w14:paraId="68BA0A51" w14:textId="77777777" w:rsidR="004B542D" w:rsidRPr="00862974" w:rsidRDefault="004B542D" w:rsidP="00196ED6">
      <w:pPr>
        <w:pStyle w:val="Default"/>
        <w:jc w:val="right"/>
        <w:rPr>
          <w:sz w:val="22"/>
          <w:szCs w:val="22"/>
        </w:rPr>
      </w:pPr>
    </w:p>
    <w:p w14:paraId="442AA5DC" w14:textId="77777777" w:rsidR="00196ED6" w:rsidRPr="00862974" w:rsidRDefault="00196ED6" w:rsidP="00F1093E">
      <w:pPr>
        <w:pStyle w:val="Default"/>
        <w:rPr>
          <w:sz w:val="22"/>
          <w:szCs w:val="22"/>
        </w:rPr>
      </w:pPr>
    </w:p>
    <w:p w14:paraId="3329B9FF" w14:textId="77777777" w:rsidR="007D6F42" w:rsidRDefault="007D6F42" w:rsidP="005D1134">
      <w:pPr>
        <w:pStyle w:val="Default"/>
        <w:spacing w:line="288" w:lineRule="auto"/>
        <w:rPr>
          <w:b/>
          <w:color w:val="auto"/>
          <w:sz w:val="28"/>
          <w:szCs w:val="28"/>
        </w:rPr>
      </w:pPr>
    </w:p>
    <w:p w14:paraId="63A4D2B7" w14:textId="77777777" w:rsidR="007D6F42" w:rsidRDefault="007D6F42" w:rsidP="005D1134">
      <w:pPr>
        <w:pStyle w:val="Default"/>
        <w:spacing w:line="288" w:lineRule="auto"/>
        <w:rPr>
          <w:b/>
          <w:color w:val="auto"/>
          <w:sz w:val="28"/>
          <w:szCs w:val="28"/>
        </w:rPr>
      </w:pPr>
    </w:p>
    <w:p w14:paraId="62D133A4" w14:textId="0D3DE3B4" w:rsidR="005D1134" w:rsidRPr="005D1134" w:rsidRDefault="005D1134" w:rsidP="005D1134">
      <w:pPr>
        <w:pStyle w:val="Default"/>
        <w:spacing w:line="288" w:lineRule="auto"/>
        <w:rPr>
          <w:b/>
          <w:color w:val="auto"/>
          <w:sz w:val="28"/>
          <w:szCs w:val="28"/>
        </w:rPr>
      </w:pPr>
      <w:r w:rsidRPr="005D1134">
        <w:rPr>
          <w:b/>
          <w:color w:val="auto"/>
          <w:sz w:val="28"/>
          <w:szCs w:val="28"/>
        </w:rPr>
        <w:t>Top Tips for Wound Healing and Cost</w:t>
      </w:r>
      <w:r w:rsidR="007D6F42">
        <w:rPr>
          <w:b/>
          <w:color w:val="auto"/>
          <w:sz w:val="28"/>
          <w:szCs w:val="28"/>
        </w:rPr>
        <w:t>-</w:t>
      </w:r>
      <w:r w:rsidRPr="005D1134">
        <w:rPr>
          <w:b/>
          <w:color w:val="auto"/>
          <w:sz w:val="28"/>
          <w:szCs w:val="28"/>
        </w:rPr>
        <w:t>Effective Prescribing of Wound Care Products</w:t>
      </w:r>
    </w:p>
    <w:p w14:paraId="0EB709C6" w14:textId="18258186" w:rsidR="005264C3" w:rsidRDefault="005264C3" w:rsidP="008629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Top </w:t>
      </w:r>
      <w:r w:rsidR="006C48D2">
        <w:rPr>
          <w:sz w:val="22"/>
          <w:szCs w:val="22"/>
        </w:rPr>
        <w:t>T</w:t>
      </w:r>
      <w:r>
        <w:rPr>
          <w:sz w:val="22"/>
          <w:szCs w:val="22"/>
        </w:rPr>
        <w:t xml:space="preserve">ips are to support </w:t>
      </w:r>
      <w:r w:rsidR="009E75E4">
        <w:rPr>
          <w:sz w:val="22"/>
          <w:szCs w:val="22"/>
        </w:rPr>
        <w:t>the efficient use of wound care products</w:t>
      </w:r>
      <w:r w:rsidR="006C48D2">
        <w:rPr>
          <w:sz w:val="22"/>
          <w:szCs w:val="22"/>
        </w:rPr>
        <w:t>,</w:t>
      </w:r>
      <w:r w:rsidR="009E75E4">
        <w:rPr>
          <w:sz w:val="22"/>
          <w:szCs w:val="22"/>
        </w:rPr>
        <w:t xml:space="preserve"> to maximise healing and </w:t>
      </w:r>
      <w:r w:rsidR="007D2667">
        <w:rPr>
          <w:sz w:val="22"/>
          <w:szCs w:val="22"/>
        </w:rPr>
        <w:t>minimise</w:t>
      </w:r>
      <w:r w:rsidR="009E75E4">
        <w:rPr>
          <w:sz w:val="22"/>
          <w:szCs w:val="22"/>
        </w:rPr>
        <w:t xml:space="preserve"> waste</w:t>
      </w:r>
      <w:r>
        <w:rPr>
          <w:sz w:val="22"/>
          <w:szCs w:val="22"/>
        </w:rPr>
        <w:t>.</w:t>
      </w:r>
    </w:p>
    <w:p w14:paraId="1EFEB9B0" w14:textId="77777777" w:rsidR="005264C3" w:rsidRPr="005264C3" w:rsidRDefault="005264C3" w:rsidP="00862974">
      <w:pPr>
        <w:pStyle w:val="Default"/>
        <w:rPr>
          <w:sz w:val="22"/>
          <w:szCs w:val="22"/>
        </w:rPr>
      </w:pPr>
    </w:p>
    <w:p w14:paraId="2D2656BA" w14:textId="77777777" w:rsidR="00A26DB2" w:rsidRPr="006A5B10" w:rsidRDefault="00C22F61" w:rsidP="00862974">
      <w:pPr>
        <w:pStyle w:val="Default"/>
        <w:rPr>
          <w:b/>
          <w:sz w:val="22"/>
          <w:szCs w:val="22"/>
          <w:u w:val="single"/>
        </w:rPr>
      </w:pPr>
      <w:r w:rsidRPr="006A5B10">
        <w:rPr>
          <w:b/>
          <w:sz w:val="22"/>
          <w:szCs w:val="22"/>
          <w:u w:val="single"/>
        </w:rPr>
        <w:t xml:space="preserve">Assessment of Patient and </w:t>
      </w:r>
      <w:r w:rsidR="00A26DB2" w:rsidRPr="006A5B10">
        <w:rPr>
          <w:b/>
          <w:sz w:val="22"/>
          <w:szCs w:val="22"/>
          <w:u w:val="single"/>
        </w:rPr>
        <w:t>Product Selection</w:t>
      </w:r>
    </w:p>
    <w:p w14:paraId="32D9E37B" w14:textId="77777777" w:rsidR="009B61E2" w:rsidRPr="005264C3" w:rsidRDefault="009B61E2" w:rsidP="00862974">
      <w:pPr>
        <w:pStyle w:val="Default"/>
        <w:rPr>
          <w:b/>
          <w:sz w:val="22"/>
          <w:szCs w:val="22"/>
        </w:rPr>
      </w:pPr>
    </w:p>
    <w:p w14:paraId="6BF8AB37" w14:textId="15910B82" w:rsidR="00BB77B1" w:rsidRPr="009B61E2" w:rsidRDefault="00A26DB2" w:rsidP="00862974">
      <w:pPr>
        <w:pStyle w:val="Default"/>
        <w:numPr>
          <w:ilvl w:val="0"/>
          <w:numId w:val="30"/>
        </w:numPr>
        <w:spacing w:after="20"/>
        <w:rPr>
          <w:b/>
          <w:sz w:val="22"/>
          <w:szCs w:val="22"/>
        </w:rPr>
      </w:pPr>
      <w:r w:rsidRPr="00862974">
        <w:rPr>
          <w:b/>
          <w:sz w:val="22"/>
          <w:szCs w:val="22"/>
        </w:rPr>
        <w:t>Review the wound</w:t>
      </w:r>
      <w:r w:rsidR="00BB77B1" w:rsidRPr="00862974">
        <w:rPr>
          <w:sz w:val="22"/>
          <w:szCs w:val="22"/>
        </w:rPr>
        <w:t>, if appropriate</w:t>
      </w:r>
      <w:r w:rsidR="00B51759" w:rsidRPr="00862974">
        <w:rPr>
          <w:sz w:val="22"/>
          <w:szCs w:val="22"/>
        </w:rPr>
        <w:t xml:space="preserve">, revise prescribing of wound dressings to ensure that the </w:t>
      </w:r>
      <w:r w:rsidR="007D6F42">
        <w:rPr>
          <w:sz w:val="22"/>
          <w:szCs w:val="22"/>
        </w:rPr>
        <w:t>most cost-effective</w:t>
      </w:r>
      <w:r w:rsidR="00B51759" w:rsidRPr="00862974">
        <w:rPr>
          <w:sz w:val="22"/>
          <w:szCs w:val="22"/>
        </w:rPr>
        <w:t xml:space="preserve"> dressings that meet the required clinical performance characteristics are routinely chosen (NICE January 2015)</w:t>
      </w:r>
      <w:r w:rsidR="000A43A0" w:rsidRPr="00862974">
        <w:rPr>
          <w:sz w:val="22"/>
          <w:szCs w:val="22"/>
        </w:rPr>
        <w:t xml:space="preserve">. Dressing selection should be made after </w:t>
      </w:r>
      <w:r w:rsidR="00F67C95" w:rsidRPr="00862974">
        <w:rPr>
          <w:sz w:val="22"/>
          <w:szCs w:val="22"/>
        </w:rPr>
        <w:t>careful</w:t>
      </w:r>
      <w:r w:rsidR="000A43A0" w:rsidRPr="00862974">
        <w:rPr>
          <w:sz w:val="22"/>
          <w:szCs w:val="22"/>
        </w:rPr>
        <w:t xml:space="preserve"> clinical assessment of the patient’s wound, their clinical condition, and their personal experience and </w:t>
      </w:r>
      <w:r w:rsidR="00F67C95" w:rsidRPr="00862974">
        <w:rPr>
          <w:sz w:val="22"/>
          <w:szCs w:val="22"/>
        </w:rPr>
        <w:t>preferences. In</w:t>
      </w:r>
      <w:r w:rsidR="000A43A0" w:rsidRPr="00862974">
        <w:rPr>
          <w:sz w:val="22"/>
          <w:szCs w:val="22"/>
        </w:rPr>
        <w:t xml:space="preserve"> the absence of any robust clinical evidence to guide choice, prescribers should routinely choose </w:t>
      </w:r>
      <w:r w:rsidR="00F67C95" w:rsidRPr="00862974">
        <w:rPr>
          <w:sz w:val="22"/>
          <w:szCs w:val="22"/>
        </w:rPr>
        <w:t>the</w:t>
      </w:r>
      <w:r w:rsidR="000A43A0" w:rsidRPr="00862974">
        <w:rPr>
          <w:sz w:val="22"/>
          <w:szCs w:val="22"/>
        </w:rPr>
        <w:t xml:space="preserve"> dressing with the lowest acquisition cost and the performance characteristics appropriate for that stage of healing</w:t>
      </w:r>
      <w:r w:rsidR="00335D95">
        <w:rPr>
          <w:sz w:val="22"/>
          <w:szCs w:val="22"/>
        </w:rPr>
        <w:t xml:space="preserve">. </w:t>
      </w:r>
    </w:p>
    <w:p w14:paraId="3DCD4C66" w14:textId="77777777" w:rsidR="009B61E2" w:rsidRDefault="009B61E2" w:rsidP="009B61E2">
      <w:pPr>
        <w:pStyle w:val="Default"/>
        <w:spacing w:after="20"/>
        <w:ind w:left="720"/>
        <w:rPr>
          <w:sz w:val="22"/>
          <w:szCs w:val="22"/>
        </w:rPr>
      </w:pPr>
    </w:p>
    <w:p w14:paraId="07F8C2CB" w14:textId="3F3E52A6" w:rsidR="009B61E2" w:rsidRPr="009E75E4" w:rsidRDefault="009E75E4" w:rsidP="009E75E4">
      <w:pPr>
        <w:pStyle w:val="Default"/>
        <w:numPr>
          <w:ilvl w:val="0"/>
          <w:numId w:val="30"/>
        </w:numPr>
        <w:spacing w:after="20"/>
        <w:rPr>
          <w:sz w:val="22"/>
          <w:szCs w:val="22"/>
        </w:rPr>
      </w:pPr>
      <w:r w:rsidRPr="009E75E4">
        <w:rPr>
          <w:b/>
          <w:sz w:val="22"/>
          <w:szCs w:val="22"/>
        </w:rPr>
        <w:t>Consider the goal at each clinical assessment,</w:t>
      </w:r>
      <w:r>
        <w:rPr>
          <w:b/>
          <w:sz w:val="22"/>
          <w:szCs w:val="22"/>
        </w:rPr>
        <w:t xml:space="preserve"> </w:t>
      </w:r>
      <w:r w:rsidRPr="009E75E4">
        <w:rPr>
          <w:sz w:val="22"/>
          <w:szCs w:val="22"/>
        </w:rPr>
        <w:t>t</w:t>
      </w:r>
      <w:r w:rsidR="009B61E2" w:rsidRPr="009E75E4">
        <w:rPr>
          <w:sz w:val="22"/>
          <w:szCs w:val="22"/>
        </w:rPr>
        <w:t xml:space="preserve">he expectation is that the wound and dressing type will change over time. Even chronic wounds may change over time. </w:t>
      </w:r>
      <w:r>
        <w:rPr>
          <w:sz w:val="22"/>
          <w:szCs w:val="22"/>
        </w:rPr>
        <w:t>Consider refe</w:t>
      </w:r>
      <w:r w:rsidR="00304A9F">
        <w:rPr>
          <w:sz w:val="22"/>
          <w:szCs w:val="22"/>
        </w:rPr>
        <w:t>rring complex/</w:t>
      </w:r>
      <w:r>
        <w:rPr>
          <w:sz w:val="22"/>
          <w:szCs w:val="22"/>
        </w:rPr>
        <w:t>slow to heal wounds t</w:t>
      </w:r>
      <w:r w:rsidR="009B61E2" w:rsidRPr="009E75E4">
        <w:rPr>
          <w:sz w:val="22"/>
          <w:szCs w:val="22"/>
        </w:rPr>
        <w:t>o</w:t>
      </w:r>
      <w:r>
        <w:rPr>
          <w:sz w:val="22"/>
          <w:szCs w:val="22"/>
        </w:rPr>
        <w:t xml:space="preserve"> a local</w:t>
      </w:r>
      <w:r w:rsidR="009B61E2" w:rsidRPr="009E75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Specialist </w:t>
      </w:r>
      <w:r w:rsidR="009B61E2" w:rsidRPr="009E75E4">
        <w:rPr>
          <w:sz w:val="22"/>
          <w:szCs w:val="22"/>
        </w:rPr>
        <w:t>Tissue Viability Nurse</w:t>
      </w:r>
      <w:r w:rsidR="006C48D2">
        <w:rPr>
          <w:sz w:val="22"/>
          <w:szCs w:val="22"/>
        </w:rPr>
        <w:t>.</w:t>
      </w:r>
      <w:r w:rsidR="00A65F5C">
        <w:rPr>
          <w:sz w:val="22"/>
          <w:szCs w:val="22"/>
        </w:rPr>
        <w:t xml:space="preserve"> (Please see </w:t>
      </w:r>
      <w:r w:rsidR="00B0097D" w:rsidRPr="008735A0">
        <w:rPr>
          <w:b/>
          <w:bCs/>
          <w:i/>
          <w:iCs/>
          <w:sz w:val="22"/>
          <w:szCs w:val="22"/>
        </w:rPr>
        <w:t>Chapter 17. Wound Management Formulary</w:t>
      </w:r>
      <w:r w:rsidR="00B0097D">
        <w:rPr>
          <w:sz w:val="22"/>
          <w:szCs w:val="22"/>
        </w:rPr>
        <w:t xml:space="preserve"> </w:t>
      </w:r>
      <w:r w:rsidR="00A65F5C">
        <w:rPr>
          <w:sz w:val="22"/>
          <w:szCs w:val="22"/>
        </w:rPr>
        <w:t>f</w:t>
      </w:r>
      <w:bookmarkStart w:id="0" w:name="_GoBack"/>
      <w:bookmarkEnd w:id="0"/>
      <w:r w:rsidR="00A65F5C">
        <w:rPr>
          <w:sz w:val="22"/>
          <w:szCs w:val="22"/>
        </w:rPr>
        <w:t>or contact details)</w:t>
      </w:r>
      <w:r w:rsidR="006C48D2">
        <w:rPr>
          <w:sz w:val="22"/>
          <w:szCs w:val="22"/>
        </w:rPr>
        <w:t>.</w:t>
      </w:r>
    </w:p>
    <w:p w14:paraId="6D55A223" w14:textId="77777777" w:rsidR="00862974" w:rsidRPr="00862974" w:rsidRDefault="00862974" w:rsidP="00862974">
      <w:pPr>
        <w:pStyle w:val="Default"/>
        <w:spacing w:after="20"/>
        <w:rPr>
          <w:b/>
          <w:sz w:val="22"/>
          <w:szCs w:val="22"/>
        </w:rPr>
      </w:pPr>
    </w:p>
    <w:p w14:paraId="093A01FE" w14:textId="43691080" w:rsidR="00862974" w:rsidRPr="004062AE" w:rsidRDefault="00862974" w:rsidP="00862974">
      <w:pPr>
        <w:pStyle w:val="Default"/>
        <w:numPr>
          <w:ilvl w:val="0"/>
          <w:numId w:val="30"/>
        </w:numPr>
        <w:spacing w:after="20"/>
        <w:rPr>
          <w:b/>
          <w:sz w:val="22"/>
          <w:szCs w:val="22"/>
        </w:rPr>
      </w:pPr>
      <w:r w:rsidRPr="00862974">
        <w:rPr>
          <w:b/>
          <w:sz w:val="22"/>
          <w:szCs w:val="22"/>
        </w:rPr>
        <w:t xml:space="preserve">Select the product </w:t>
      </w:r>
      <w:r w:rsidRPr="00862974">
        <w:rPr>
          <w:sz w:val="22"/>
          <w:szCs w:val="22"/>
        </w:rPr>
        <w:t>to meet the needs of the wound, consider exudate, concordance</w:t>
      </w:r>
      <w:r w:rsidR="004062AE">
        <w:rPr>
          <w:sz w:val="22"/>
          <w:szCs w:val="22"/>
        </w:rPr>
        <w:t xml:space="preserve">, comfort and frequency of change. Only change the dressing after the appropriate period; not all dressings need daily change. Some </w:t>
      </w:r>
      <w:r w:rsidR="00304A9F">
        <w:rPr>
          <w:sz w:val="22"/>
          <w:szCs w:val="22"/>
        </w:rPr>
        <w:t>can</w:t>
      </w:r>
      <w:r w:rsidR="004062AE">
        <w:rPr>
          <w:sz w:val="22"/>
          <w:szCs w:val="22"/>
        </w:rPr>
        <w:t xml:space="preserve"> be left in place for up to 7 days</w:t>
      </w:r>
      <w:r w:rsidR="006C48D2">
        <w:rPr>
          <w:sz w:val="22"/>
          <w:szCs w:val="22"/>
        </w:rPr>
        <w:t>.</w:t>
      </w:r>
      <w:r w:rsidR="004062AE">
        <w:rPr>
          <w:sz w:val="22"/>
          <w:szCs w:val="22"/>
        </w:rPr>
        <w:t xml:space="preserve"> </w:t>
      </w:r>
    </w:p>
    <w:p w14:paraId="116B28B2" w14:textId="77777777" w:rsidR="00B51759" w:rsidRPr="00862974" w:rsidRDefault="00B51759" w:rsidP="00B51759">
      <w:pPr>
        <w:pStyle w:val="Default"/>
        <w:spacing w:after="20"/>
        <w:ind w:left="360"/>
        <w:rPr>
          <w:sz w:val="22"/>
          <w:szCs w:val="22"/>
        </w:rPr>
      </w:pPr>
    </w:p>
    <w:p w14:paraId="5704E9B6" w14:textId="30AAE35B" w:rsidR="004B542D" w:rsidRDefault="00BB77B1" w:rsidP="009E75E4">
      <w:pPr>
        <w:pStyle w:val="Default"/>
        <w:numPr>
          <w:ilvl w:val="0"/>
          <w:numId w:val="30"/>
        </w:numPr>
        <w:spacing w:after="20"/>
        <w:rPr>
          <w:b/>
          <w:sz w:val="22"/>
          <w:szCs w:val="22"/>
        </w:rPr>
      </w:pPr>
      <w:r w:rsidRPr="00862974">
        <w:rPr>
          <w:b/>
          <w:sz w:val="22"/>
          <w:szCs w:val="22"/>
        </w:rPr>
        <w:t>C</w:t>
      </w:r>
      <w:r w:rsidR="00A900EC" w:rsidRPr="00862974">
        <w:rPr>
          <w:b/>
          <w:sz w:val="22"/>
          <w:szCs w:val="22"/>
        </w:rPr>
        <w:t>heck the</w:t>
      </w:r>
      <w:r w:rsidR="00DA3D65" w:rsidRPr="00862974">
        <w:rPr>
          <w:b/>
          <w:sz w:val="22"/>
          <w:szCs w:val="22"/>
        </w:rPr>
        <w:t xml:space="preserve"> dressing/product is on the </w:t>
      </w:r>
      <w:r w:rsidR="00A65F5C">
        <w:rPr>
          <w:b/>
          <w:sz w:val="22"/>
          <w:szCs w:val="22"/>
        </w:rPr>
        <w:t xml:space="preserve">Devon </w:t>
      </w:r>
      <w:r w:rsidR="00B51759" w:rsidRPr="00862974">
        <w:rPr>
          <w:b/>
          <w:sz w:val="22"/>
          <w:szCs w:val="22"/>
        </w:rPr>
        <w:t>W</w:t>
      </w:r>
      <w:r w:rsidR="00DA3D65" w:rsidRPr="00862974">
        <w:rPr>
          <w:b/>
          <w:sz w:val="22"/>
          <w:szCs w:val="22"/>
        </w:rPr>
        <w:t xml:space="preserve">ound </w:t>
      </w:r>
      <w:r w:rsidR="00A65F5C">
        <w:rPr>
          <w:b/>
          <w:sz w:val="22"/>
          <w:szCs w:val="22"/>
        </w:rPr>
        <w:t>Management</w:t>
      </w:r>
      <w:r w:rsidR="00A65F5C" w:rsidRPr="00862974">
        <w:rPr>
          <w:b/>
          <w:sz w:val="22"/>
          <w:szCs w:val="22"/>
        </w:rPr>
        <w:t xml:space="preserve"> </w:t>
      </w:r>
      <w:r w:rsidR="00A65F5C">
        <w:rPr>
          <w:b/>
          <w:sz w:val="22"/>
          <w:szCs w:val="22"/>
        </w:rPr>
        <w:t>F</w:t>
      </w:r>
      <w:r w:rsidR="00DA3D65" w:rsidRPr="00862974">
        <w:rPr>
          <w:b/>
          <w:sz w:val="22"/>
          <w:szCs w:val="22"/>
        </w:rPr>
        <w:t>ormulary</w:t>
      </w:r>
      <w:r w:rsidR="006C48D2">
        <w:rPr>
          <w:b/>
          <w:sz w:val="22"/>
          <w:szCs w:val="22"/>
        </w:rPr>
        <w:t>:</w:t>
      </w:r>
    </w:p>
    <w:p w14:paraId="5345EF9B" w14:textId="77777777" w:rsidR="006A5B10" w:rsidRPr="006A5B10" w:rsidRDefault="006A5B10" w:rsidP="006A5B10">
      <w:pPr>
        <w:pStyle w:val="Default"/>
        <w:spacing w:after="20"/>
        <w:rPr>
          <w:b/>
          <w:i/>
          <w:iCs/>
          <w:sz w:val="22"/>
          <w:szCs w:val="22"/>
        </w:rPr>
      </w:pPr>
    </w:p>
    <w:p w14:paraId="67B8F33C" w14:textId="42F183F7" w:rsidR="00A65F5C" w:rsidRPr="008735A0" w:rsidRDefault="008735A0" w:rsidP="00A65F5C">
      <w:pPr>
        <w:pStyle w:val="Default"/>
        <w:numPr>
          <w:ilvl w:val="1"/>
          <w:numId w:val="30"/>
        </w:numPr>
        <w:spacing w:after="20"/>
        <w:rPr>
          <w:bCs/>
          <w:i/>
          <w:iCs/>
          <w:color w:val="0000FF"/>
          <w:sz w:val="22"/>
          <w:szCs w:val="22"/>
          <w:u w:val="single"/>
        </w:rPr>
      </w:pPr>
      <w:hyperlink r:id="rId9" w:history="1">
        <w:r w:rsidR="00DE73D2" w:rsidRPr="008735A0">
          <w:rPr>
            <w:rStyle w:val="Hyperlink"/>
            <w:bCs/>
            <w:i/>
            <w:iCs/>
            <w:color w:val="0000FF"/>
            <w:sz w:val="22"/>
            <w:szCs w:val="22"/>
            <w:u w:val="single"/>
          </w:rPr>
          <w:t>North and East Devon Formulary</w:t>
        </w:r>
      </w:hyperlink>
    </w:p>
    <w:p w14:paraId="3273FFBA" w14:textId="62DA2ACD" w:rsidR="00A65F5C" w:rsidRPr="008735A0" w:rsidRDefault="008735A0" w:rsidP="006A5B10">
      <w:pPr>
        <w:pStyle w:val="Default"/>
        <w:numPr>
          <w:ilvl w:val="1"/>
          <w:numId w:val="30"/>
        </w:numPr>
        <w:spacing w:after="20"/>
        <w:rPr>
          <w:bCs/>
          <w:i/>
          <w:iCs/>
          <w:color w:val="0000FF"/>
          <w:sz w:val="22"/>
          <w:szCs w:val="22"/>
          <w:u w:val="single"/>
        </w:rPr>
      </w:pPr>
      <w:hyperlink r:id="rId10" w:history="1">
        <w:r w:rsidR="00DE73D2" w:rsidRPr="008735A0">
          <w:rPr>
            <w:rStyle w:val="Hyperlink"/>
            <w:bCs/>
            <w:i/>
            <w:iCs/>
            <w:color w:val="0000FF"/>
            <w:sz w:val="22"/>
            <w:szCs w:val="22"/>
            <w:u w:val="single"/>
          </w:rPr>
          <w:t>South and West Devon Formulary</w:t>
        </w:r>
      </w:hyperlink>
    </w:p>
    <w:p w14:paraId="75175F90" w14:textId="77777777" w:rsidR="006A5B10" w:rsidRPr="00862974" w:rsidRDefault="006A5B10" w:rsidP="006A5B10">
      <w:pPr>
        <w:pStyle w:val="Default"/>
        <w:spacing w:after="20"/>
        <w:ind w:left="1080"/>
        <w:rPr>
          <w:b/>
          <w:sz w:val="22"/>
          <w:szCs w:val="22"/>
        </w:rPr>
      </w:pPr>
    </w:p>
    <w:p w14:paraId="54BBC57B" w14:textId="133CF542" w:rsidR="00623D63" w:rsidRPr="006A5B10" w:rsidRDefault="009E75E4" w:rsidP="007457CE">
      <w:pPr>
        <w:pStyle w:val="Default"/>
        <w:numPr>
          <w:ilvl w:val="0"/>
          <w:numId w:val="31"/>
        </w:numPr>
        <w:spacing w:after="20"/>
        <w:rPr>
          <w:color w:val="FFC000"/>
          <w:sz w:val="22"/>
          <w:szCs w:val="22"/>
        </w:rPr>
      </w:pPr>
      <w:r>
        <w:rPr>
          <w:sz w:val="22"/>
          <w:szCs w:val="22"/>
        </w:rPr>
        <w:t>S</w:t>
      </w:r>
      <w:r w:rsidR="00534295" w:rsidRPr="00862974">
        <w:rPr>
          <w:sz w:val="22"/>
          <w:szCs w:val="22"/>
        </w:rPr>
        <w:t xml:space="preserve">ome dressings are </w:t>
      </w:r>
      <w:r w:rsidR="00A65F5C">
        <w:rPr>
          <w:sz w:val="22"/>
          <w:szCs w:val="22"/>
        </w:rPr>
        <w:t xml:space="preserve">intended </w:t>
      </w:r>
      <w:r w:rsidR="00534295" w:rsidRPr="00862974">
        <w:rPr>
          <w:sz w:val="22"/>
          <w:szCs w:val="22"/>
        </w:rPr>
        <w:t xml:space="preserve">for </w:t>
      </w:r>
      <w:r w:rsidR="00A65F5C">
        <w:rPr>
          <w:sz w:val="22"/>
          <w:szCs w:val="22"/>
        </w:rPr>
        <w:t xml:space="preserve">use in line with </w:t>
      </w:r>
      <w:r w:rsidR="00A65F5C" w:rsidRPr="006C48D2">
        <w:rPr>
          <w:b/>
          <w:bCs/>
          <w:sz w:val="22"/>
          <w:szCs w:val="22"/>
        </w:rPr>
        <w:t>specialist input or advice</w:t>
      </w:r>
      <w:r w:rsidR="006A5B10">
        <w:rPr>
          <w:sz w:val="22"/>
          <w:szCs w:val="22"/>
        </w:rPr>
        <w:t>. P</w:t>
      </w:r>
      <w:r w:rsidR="00623D63">
        <w:rPr>
          <w:sz w:val="22"/>
          <w:szCs w:val="22"/>
        </w:rPr>
        <w:t xml:space="preserve">lease see below or </w:t>
      </w:r>
      <w:r w:rsidR="00534295" w:rsidRPr="00862974">
        <w:rPr>
          <w:sz w:val="22"/>
          <w:szCs w:val="22"/>
        </w:rPr>
        <w:t>the local formulary</w:t>
      </w:r>
      <w:r w:rsidR="006A5B10">
        <w:rPr>
          <w:sz w:val="22"/>
          <w:szCs w:val="22"/>
        </w:rPr>
        <w:t>,</w:t>
      </w:r>
      <w:r w:rsidR="00534295" w:rsidRPr="00862974">
        <w:rPr>
          <w:sz w:val="22"/>
          <w:szCs w:val="22"/>
        </w:rPr>
        <w:t xml:space="preserve"> for further information</w:t>
      </w:r>
      <w:r w:rsidR="004D3F50">
        <w:rPr>
          <w:sz w:val="22"/>
          <w:szCs w:val="22"/>
        </w:rPr>
        <w:t xml:space="preserve"> on traffic light colour classification</w:t>
      </w:r>
      <w:r w:rsidR="00534295" w:rsidRPr="00862974">
        <w:rPr>
          <w:sz w:val="22"/>
          <w:szCs w:val="22"/>
        </w:rPr>
        <w:t>. Products are colour coded</w:t>
      </w:r>
      <w:r w:rsidR="00623D63">
        <w:rPr>
          <w:sz w:val="22"/>
          <w:szCs w:val="22"/>
        </w:rPr>
        <w:t xml:space="preserve"> as follows: </w:t>
      </w:r>
    </w:p>
    <w:p w14:paraId="24999336" w14:textId="77777777" w:rsidR="006A5B10" w:rsidRPr="006A5B10" w:rsidRDefault="006A5B10" w:rsidP="006A5B10">
      <w:pPr>
        <w:pStyle w:val="Default"/>
        <w:spacing w:after="20"/>
        <w:ind w:left="720"/>
        <w:rPr>
          <w:color w:val="FFC000"/>
          <w:sz w:val="22"/>
          <w:szCs w:val="22"/>
        </w:rPr>
      </w:pPr>
    </w:p>
    <w:p w14:paraId="4B06C93B" w14:textId="03967913" w:rsidR="00623D63" w:rsidRPr="006A5B10" w:rsidRDefault="00623D63" w:rsidP="00623D63">
      <w:pPr>
        <w:pStyle w:val="Default"/>
        <w:numPr>
          <w:ilvl w:val="1"/>
          <w:numId w:val="31"/>
        </w:numPr>
        <w:spacing w:after="20"/>
        <w:rPr>
          <w:color w:val="FFC000"/>
          <w:sz w:val="22"/>
          <w:szCs w:val="22"/>
        </w:rPr>
      </w:pPr>
      <w:r w:rsidRPr="006A5B10">
        <w:rPr>
          <w:b/>
          <w:bCs/>
          <w:color w:val="009900"/>
        </w:rPr>
        <w:t>First line is green</w:t>
      </w:r>
      <w:r w:rsidRPr="006A5B10">
        <w:rPr>
          <w:color w:val="00B050"/>
          <w:sz w:val="18"/>
          <w:szCs w:val="18"/>
        </w:rPr>
        <w:t xml:space="preserve"> </w:t>
      </w:r>
    </w:p>
    <w:p w14:paraId="42B4C022" w14:textId="6ED0B76A" w:rsidR="00623D63" w:rsidRPr="006A5B10" w:rsidRDefault="00623D63" w:rsidP="006A5B10">
      <w:pPr>
        <w:pStyle w:val="Default"/>
        <w:numPr>
          <w:ilvl w:val="2"/>
          <w:numId w:val="31"/>
        </w:numPr>
        <w:spacing w:after="20"/>
        <w:rPr>
          <w:color w:val="000000" w:themeColor="text1"/>
          <w:sz w:val="22"/>
          <w:szCs w:val="22"/>
        </w:rPr>
      </w:pPr>
      <w:r w:rsidRPr="006A5B10">
        <w:rPr>
          <w:color w:val="000000" w:themeColor="text1"/>
          <w:sz w:val="22"/>
          <w:szCs w:val="22"/>
        </w:rPr>
        <w:t>Preferred treatment option</w:t>
      </w:r>
    </w:p>
    <w:p w14:paraId="200A5C86" w14:textId="1A516FE9" w:rsidR="00623D63" w:rsidRPr="006A5B10" w:rsidRDefault="00534295" w:rsidP="00623D63">
      <w:pPr>
        <w:pStyle w:val="Default"/>
        <w:numPr>
          <w:ilvl w:val="1"/>
          <w:numId w:val="31"/>
        </w:numPr>
        <w:spacing w:after="20"/>
        <w:rPr>
          <w:color w:val="FFC000"/>
          <w:sz w:val="22"/>
          <w:szCs w:val="22"/>
        </w:rPr>
      </w:pPr>
      <w:r w:rsidRPr="006A5B10">
        <w:rPr>
          <w:b/>
          <w:bCs/>
          <w:color w:val="0000FF"/>
        </w:rPr>
        <w:t>Second line</w:t>
      </w:r>
      <w:r w:rsidRPr="006A5B10">
        <w:rPr>
          <w:color w:val="0000FF"/>
        </w:rPr>
        <w:t xml:space="preserve"> </w:t>
      </w:r>
      <w:r w:rsidRPr="006A5B10">
        <w:rPr>
          <w:b/>
          <w:bCs/>
          <w:color w:val="0000FF"/>
        </w:rPr>
        <w:t>is blue</w:t>
      </w:r>
    </w:p>
    <w:p w14:paraId="00025EAD" w14:textId="26E0E045" w:rsidR="00623D63" w:rsidRPr="006A5B10" w:rsidRDefault="00623D63" w:rsidP="006A5B10">
      <w:pPr>
        <w:pStyle w:val="Default"/>
        <w:numPr>
          <w:ilvl w:val="2"/>
          <w:numId w:val="31"/>
        </w:numPr>
        <w:spacing w:after="20"/>
        <w:rPr>
          <w:color w:val="auto"/>
          <w:sz w:val="22"/>
          <w:szCs w:val="22"/>
        </w:rPr>
      </w:pPr>
      <w:r w:rsidRPr="006A5B10">
        <w:rPr>
          <w:color w:val="auto"/>
          <w:sz w:val="22"/>
          <w:szCs w:val="22"/>
        </w:rPr>
        <w:t>Alternative option generally used later down the treatment pathway</w:t>
      </w:r>
      <w:r w:rsidR="006C48D2">
        <w:rPr>
          <w:color w:val="auto"/>
          <w:sz w:val="22"/>
          <w:szCs w:val="22"/>
        </w:rPr>
        <w:t>,</w:t>
      </w:r>
      <w:r w:rsidRPr="006A5B10">
        <w:rPr>
          <w:color w:val="auto"/>
          <w:sz w:val="22"/>
          <w:szCs w:val="22"/>
        </w:rPr>
        <w:t xml:space="preserve"> or if the first line options are inappropriate or ineffective</w:t>
      </w:r>
    </w:p>
    <w:p w14:paraId="3AB414D8" w14:textId="2A471ACF" w:rsidR="00534295" w:rsidRDefault="00534295" w:rsidP="00623D63">
      <w:pPr>
        <w:pStyle w:val="Default"/>
        <w:numPr>
          <w:ilvl w:val="1"/>
          <w:numId w:val="31"/>
        </w:numPr>
        <w:spacing w:after="20"/>
        <w:rPr>
          <w:b/>
          <w:bCs/>
          <w:color w:val="FFC000"/>
        </w:rPr>
      </w:pPr>
      <w:r w:rsidRPr="006A5B10">
        <w:rPr>
          <w:b/>
          <w:bCs/>
          <w:color w:val="FFC000"/>
        </w:rPr>
        <w:t xml:space="preserve">Specialist </w:t>
      </w:r>
      <w:r w:rsidR="00623D63" w:rsidRPr="006A5B10">
        <w:rPr>
          <w:b/>
          <w:bCs/>
          <w:color w:val="FFC000"/>
        </w:rPr>
        <w:t xml:space="preserve">input </w:t>
      </w:r>
      <w:r w:rsidRPr="006A5B10">
        <w:rPr>
          <w:b/>
          <w:bCs/>
          <w:color w:val="FFC000"/>
        </w:rPr>
        <w:t xml:space="preserve">is </w:t>
      </w:r>
      <w:r w:rsidR="00623D63" w:rsidRPr="006A5B10">
        <w:rPr>
          <w:b/>
          <w:bCs/>
          <w:color w:val="FFC000"/>
        </w:rPr>
        <w:t>a</w:t>
      </w:r>
      <w:r w:rsidRPr="006A5B10">
        <w:rPr>
          <w:b/>
          <w:bCs/>
          <w:color w:val="FFC000"/>
        </w:rPr>
        <w:t>mber</w:t>
      </w:r>
    </w:p>
    <w:p w14:paraId="378504BA" w14:textId="1C08721D" w:rsidR="00623D63" w:rsidRPr="006A5B10" w:rsidRDefault="00623D63" w:rsidP="006A5B10">
      <w:pPr>
        <w:pStyle w:val="Default"/>
        <w:numPr>
          <w:ilvl w:val="2"/>
          <w:numId w:val="31"/>
        </w:numPr>
        <w:spacing w:after="20"/>
        <w:rPr>
          <w:color w:val="auto"/>
          <w:sz w:val="22"/>
          <w:szCs w:val="22"/>
        </w:rPr>
      </w:pPr>
      <w:r w:rsidRPr="006A5B10">
        <w:rPr>
          <w:color w:val="auto"/>
          <w:sz w:val="22"/>
          <w:szCs w:val="22"/>
        </w:rPr>
        <w:t>Treatments where specialist input is required for general use</w:t>
      </w:r>
    </w:p>
    <w:p w14:paraId="01F31F4A" w14:textId="2130E841" w:rsidR="00623D63" w:rsidRDefault="00623D63" w:rsidP="00623D63">
      <w:pPr>
        <w:pStyle w:val="Default"/>
        <w:numPr>
          <w:ilvl w:val="1"/>
          <w:numId w:val="31"/>
        </w:numPr>
        <w:spacing w:after="20"/>
        <w:rPr>
          <w:b/>
          <w:bCs/>
          <w:color w:val="C00000"/>
        </w:rPr>
      </w:pPr>
      <w:r w:rsidRPr="006A5B10">
        <w:rPr>
          <w:b/>
          <w:bCs/>
          <w:color w:val="C00000"/>
        </w:rPr>
        <w:t>Secondary care only is red</w:t>
      </w:r>
    </w:p>
    <w:p w14:paraId="6C4ADB07" w14:textId="0B0E7B1C" w:rsidR="00623D63" w:rsidRPr="006A5B10" w:rsidRDefault="00623D63" w:rsidP="006A5B10">
      <w:pPr>
        <w:pStyle w:val="Default"/>
        <w:numPr>
          <w:ilvl w:val="2"/>
          <w:numId w:val="31"/>
        </w:numPr>
        <w:spacing w:after="20"/>
        <w:rPr>
          <w:color w:val="auto"/>
          <w:sz w:val="22"/>
          <w:szCs w:val="22"/>
        </w:rPr>
      </w:pPr>
      <w:r w:rsidRPr="006A5B10">
        <w:rPr>
          <w:color w:val="auto"/>
          <w:sz w:val="22"/>
          <w:szCs w:val="22"/>
        </w:rPr>
        <w:t>The prescribing responsibility for these options should normally remain with the consultant or specialist clinician</w:t>
      </w:r>
      <w:r w:rsidR="004D3F50" w:rsidRPr="006A5B10">
        <w:rPr>
          <w:color w:val="auto"/>
          <w:sz w:val="22"/>
          <w:szCs w:val="22"/>
        </w:rPr>
        <w:t xml:space="preserve"> in secondary care</w:t>
      </w:r>
      <w:r w:rsidRPr="006A5B10">
        <w:rPr>
          <w:color w:val="auto"/>
          <w:sz w:val="22"/>
          <w:szCs w:val="22"/>
        </w:rPr>
        <w:t xml:space="preserve">. These should </w:t>
      </w:r>
      <w:r w:rsidRPr="006C48D2">
        <w:rPr>
          <w:b/>
          <w:bCs/>
          <w:color w:val="auto"/>
          <w:sz w:val="22"/>
          <w:szCs w:val="22"/>
          <w:u w:val="single"/>
        </w:rPr>
        <w:t>not</w:t>
      </w:r>
      <w:r w:rsidRPr="006A5B10">
        <w:rPr>
          <w:color w:val="auto"/>
          <w:sz w:val="22"/>
          <w:szCs w:val="22"/>
        </w:rPr>
        <w:t xml:space="preserve"> be initiated or prescribed in primary care</w:t>
      </w:r>
      <w:r w:rsidR="006C48D2">
        <w:rPr>
          <w:color w:val="auto"/>
          <w:sz w:val="22"/>
          <w:szCs w:val="22"/>
        </w:rPr>
        <w:t>.</w:t>
      </w:r>
    </w:p>
    <w:p w14:paraId="299078B7" w14:textId="77777777" w:rsidR="00E739CD" w:rsidRDefault="00E739CD" w:rsidP="00E739CD">
      <w:pPr>
        <w:pStyle w:val="Default"/>
        <w:spacing w:after="20"/>
        <w:ind w:left="720"/>
        <w:rPr>
          <w:color w:val="FFC000"/>
          <w:sz w:val="22"/>
          <w:szCs w:val="22"/>
        </w:rPr>
      </w:pPr>
    </w:p>
    <w:p w14:paraId="2673BA95" w14:textId="77777777" w:rsidR="00E044D2" w:rsidRPr="00C76068" w:rsidRDefault="00E044D2" w:rsidP="00E044D2">
      <w:pPr>
        <w:pStyle w:val="ListParagraph"/>
        <w:numPr>
          <w:ilvl w:val="0"/>
          <w:numId w:val="37"/>
        </w:numPr>
        <w:spacing w:after="20" w:line="240" w:lineRule="auto"/>
        <w:rPr>
          <w:rFonts w:ascii="Arial" w:hAnsi="Arial" w:cs="Arial"/>
        </w:rPr>
      </w:pPr>
      <w:r w:rsidRPr="00C22F61">
        <w:rPr>
          <w:rFonts w:ascii="Arial" w:hAnsi="Arial" w:cs="Arial"/>
          <w:b/>
        </w:rPr>
        <w:t>Highly absorbent products</w:t>
      </w:r>
      <w:r w:rsidRPr="00C76068">
        <w:rPr>
          <w:rFonts w:ascii="Arial" w:hAnsi="Arial" w:cs="Arial"/>
        </w:rPr>
        <w:t xml:space="preserve"> are only cost effective for use on heavily exuding wounds.</w:t>
      </w:r>
    </w:p>
    <w:p w14:paraId="40C99F26" w14:textId="77777777" w:rsidR="00E044D2" w:rsidRDefault="00E044D2" w:rsidP="00E044D2">
      <w:pPr>
        <w:spacing w:after="20" w:line="240" w:lineRule="auto"/>
        <w:rPr>
          <w:rFonts w:ascii="Arial" w:hAnsi="Arial" w:cs="Arial"/>
          <w:b/>
        </w:rPr>
      </w:pPr>
    </w:p>
    <w:p w14:paraId="11EB576A" w14:textId="2534B780" w:rsidR="00E044D2" w:rsidRPr="00E044D2" w:rsidRDefault="00E044D2" w:rsidP="00E044D2">
      <w:pPr>
        <w:pStyle w:val="ListParagraph"/>
        <w:numPr>
          <w:ilvl w:val="0"/>
          <w:numId w:val="37"/>
        </w:numPr>
        <w:spacing w:after="20" w:line="240" w:lineRule="auto"/>
        <w:rPr>
          <w:rFonts w:ascii="Arial" w:hAnsi="Arial" w:cs="Arial"/>
        </w:rPr>
      </w:pPr>
      <w:r w:rsidRPr="00C22F61">
        <w:rPr>
          <w:rFonts w:ascii="Arial" w:hAnsi="Arial" w:cs="Arial"/>
          <w:b/>
        </w:rPr>
        <w:t>High cost products</w:t>
      </w:r>
      <w:r w:rsidRPr="00E044D2">
        <w:rPr>
          <w:rFonts w:ascii="Arial" w:hAnsi="Arial" w:cs="Arial"/>
        </w:rPr>
        <w:t xml:space="preserve"> are not necessarily better products, if unsure wh</w:t>
      </w:r>
      <w:r w:rsidR="006C48D2">
        <w:rPr>
          <w:rFonts w:ascii="Arial" w:hAnsi="Arial" w:cs="Arial"/>
        </w:rPr>
        <w:t>y</w:t>
      </w:r>
      <w:r w:rsidR="00DE24D2">
        <w:rPr>
          <w:rFonts w:ascii="Arial" w:hAnsi="Arial" w:cs="Arial"/>
        </w:rPr>
        <w:t xml:space="preserve"> the product is being used,</w:t>
      </w:r>
      <w:r w:rsidRPr="00E044D2">
        <w:rPr>
          <w:rFonts w:ascii="Arial" w:hAnsi="Arial" w:cs="Arial"/>
        </w:rPr>
        <w:t xml:space="preserve"> consider a referral to a local Specialist Tissue Viability Nurse</w:t>
      </w:r>
      <w:r w:rsidR="006A5B10">
        <w:rPr>
          <w:rFonts w:ascii="Arial" w:hAnsi="Arial" w:cs="Arial"/>
        </w:rPr>
        <w:t>.</w:t>
      </w:r>
    </w:p>
    <w:p w14:paraId="0C85327C" w14:textId="55A2688E" w:rsidR="00E044D2" w:rsidRDefault="00E044D2" w:rsidP="00E739CD">
      <w:pPr>
        <w:pStyle w:val="Default"/>
        <w:spacing w:after="20"/>
        <w:ind w:left="720"/>
        <w:rPr>
          <w:color w:val="FFC000"/>
          <w:sz w:val="22"/>
          <w:szCs w:val="22"/>
        </w:rPr>
      </w:pPr>
    </w:p>
    <w:p w14:paraId="20E72D5B" w14:textId="77777777" w:rsidR="006A5B10" w:rsidRPr="00862974" w:rsidRDefault="006A5B10" w:rsidP="006A5B10">
      <w:pPr>
        <w:pStyle w:val="Default"/>
        <w:spacing w:after="20"/>
        <w:rPr>
          <w:color w:val="FFC000"/>
          <w:sz w:val="22"/>
          <w:szCs w:val="22"/>
        </w:rPr>
      </w:pPr>
    </w:p>
    <w:p w14:paraId="6CEE82A1" w14:textId="671B879F" w:rsidR="00781974" w:rsidRPr="006A5B10" w:rsidRDefault="001F37C7" w:rsidP="00781974">
      <w:pPr>
        <w:pStyle w:val="Default"/>
        <w:spacing w:after="20"/>
        <w:rPr>
          <w:b/>
          <w:sz w:val="22"/>
          <w:szCs w:val="22"/>
          <w:u w:val="single"/>
        </w:rPr>
      </w:pPr>
      <w:r w:rsidRPr="006A5B10">
        <w:rPr>
          <w:b/>
          <w:sz w:val="22"/>
          <w:szCs w:val="22"/>
          <w:u w:val="single"/>
        </w:rPr>
        <w:t>P</w:t>
      </w:r>
      <w:r w:rsidR="00781974" w:rsidRPr="006A5B10">
        <w:rPr>
          <w:b/>
          <w:sz w:val="22"/>
          <w:szCs w:val="22"/>
          <w:u w:val="single"/>
        </w:rPr>
        <w:t>rescribing</w:t>
      </w:r>
      <w:r w:rsidRPr="006A5B10">
        <w:rPr>
          <w:b/>
          <w:sz w:val="22"/>
          <w:szCs w:val="22"/>
          <w:u w:val="single"/>
        </w:rPr>
        <w:t xml:space="preserve"> or </w:t>
      </w:r>
      <w:r w:rsidR="006C48D2">
        <w:rPr>
          <w:b/>
          <w:sz w:val="22"/>
          <w:szCs w:val="22"/>
          <w:u w:val="single"/>
        </w:rPr>
        <w:t>R</w:t>
      </w:r>
      <w:r w:rsidRPr="006A5B10">
        <w:rPr>
          <w:b/>
          <w:sz w:val="22"/>
          <w:szCs w:val="22"/>
          <w:u w:val="single"/>
        </w:rPr>
        <w:t>equesting</w:t>
      </w:r>
    </w:p>
    <w:p w14:paraId="1516548D" w14:textId="77777777" w:rsidR="009E75E4" w:rsidRDefault="009E75E4" w:rsidP="00781974">
      <w:pPr>
        <w:pStyle w:val="Default"/>
        <w:spacing w:after="20"/>
        <w:rPr>
          <w:b/>
          <w:sz w:val="22"/>
          <w:szCs w:val="22"/>
        </w:rPr>
      </w:pPr>
    </w:p>
    <w:p w14:paraId="622CB775" w14:textId="77777777" w:rsidR="00B0097D" w:rsidRPr="004D4BB8" w:rsidRDefault="00B0097D" w:rsidP="00B0097D">
      <w:pPr>
        <w:pStyle w:val="Default"/>
        <w:numPr>
          <w:ilvl w:val="0"/>
          <w:numId w:val="33"/>
        </w:numPr>
        <w:spacing w:after="20"/>
        <w:rPr>
          <w:sz w:val="22"/>
          <w:szCs w:val="22"/>
        </w:rPr>
      </w:pPr>
      <w:r w:rsidRPr="004D4BB8">
        <w:rPr>
          <w:sz w:val="22"/>
          <w:szCs w:val="22"/>
        </w:rPr>
        <w:t xml:space="preserve">Check the wound has been clinically reviewed prior to prescribing/requesting to avoid waste and incorrect product being requested </w:t>
      </w:r>
    </w:p>
    <w:p w14:paraId="6886F16C" w14:textId="41A18A66" w:rsidR="00B0097D" w:rsidRPr="00580385" w:rsidRDefault="00B0097D" w:rsidP="00B0097D">
      <w:pPr>
        <w:pStyle w:val="Default"/>
        <w:numPr>
          <w:ilvl w:val="0"/>
          <w:numId w:val="33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>C</w:t>
      </w:r>
      <w:r w:rsidRPr="004D4BB8">
        <w:rPr>
          <w:sz w:val="22"/>
          <w:szCs w:val="22"/>
        </w:rPr>
        <w:t>heck what is needed before prescribing/requesting a prescription</w:t>
      </w:r>
      <w:r w:rsidRPr="00781974">
        <w:rPr>
          <w:sz w:val="22"/>
          <w:szCs w:val="22"/>
        </w:rPr>
        <w:t xml:space="preserve"> </w:t>
      </w:r>
      <w:r>
        <w:rPr>
          <w:sz w:val="22"/>
          <w:szCs w:val="22"/>
        </w:rPr>
        <w:t>and r</w:t>
      </w:r>
      <w:r w:rsidRPr="00781974">
        <w:rPr>
          <w:sz w:val="22"/>
          <w:szCs w:val="22"/>
        </w:rPr>
        <w:t xml:space="preserve">equest the minimum quantity of dressings to meet the patient’s needs, </w:t>
      </w:r>
      <w:r>
        <w:rPr>
          <w:sz w:val="22"/>
          <w:szCs w:val="22"/>
        </w:rPr>
        <w:t>not one box or one originator</w:t>
      </w:r>
    </w:p>
    <w:p w14:paraId="1BE8A7FC" w14:textId="77777777" w:rsidR="00B0097D" w:rsidRDefault="00B0097D" w:rsidP="00B0097D">
      <w:pPr>
        <w:pStyle w:val="Default"/>
        <w:numPr>
          <w:ilvl w:val="0"/>
          <w:numId w:val="33"/>
        </w:numPr>
        <w:spacing w:after="20"/>
        <w:rPr>
          <w:b/>
          <w:sz w:val="22"/>
          <w:szCs w:val="22"/>
        </w:rPr>
      </w:pPr>
      <w:r>
        <w:rPr>
          <w:sz w:val="22"/>
          <w:szCs w:val="22"/>
        </w:rPr>
        <w:t>GPs should prescribe the minimum quantity necessary, as per individual quantity</w:t>
      </w:r>
    </w:p>
    <w:p w14:paraId="38D54FE9" w14:textId="434E7FC3" w:rsidR="009E75E4" w:rsidRPr="009E75E4" w:rsidRDefault="009E75E4" w:rsidP="009E75E4">
      <w:pPr>
        <w:pStyle w:val="Default"/>
        <w:numPr>
          <w:ilvl w:val="0"/>
          <w:numId w:val="33"/>
        </w:numPr>
        <w:spacing w:after="20"/>
        <w:rPr>
          <w:sz w:val="22"/>
          <w:szCs w:val="22"/>
        </w:rPr>
      </w:pPr>
      <w:r w:rsidRPr="009E75E4">
        <w:rPr>
          <w:bCs/>
          <w:sz w:val="22"/>
          <w:szCs w:val="22"/>
        </w:rPr>
        <w:t>Check the correct size of dressing is ordered, larger dressings are usually exponentially more expensive than the smaller sizes. If the wound is not reducing in size</w:t>
      </w:r>
      <w:r w:rsidR="006C48D2">
        <w:rPr>
          <w:bCs/>
          <w:sz w:val="22"/>
          <w:szCs w:val="22"/>
        </w:rPr>
        <w:t xml:space="preserve">, </w:t>
      </w:r>
      <w:r w:rsidRPr="009E75E4">
        <w:rPr>
          <w:bCs/>
          <w:sz w:val="22"/>
          <w:szCs w:val="22"/>
        </w:rPr>
        <w:t>consider requesting a full medical review for the patient</w:t>
      </w:r>
    </w:p>
    <w:p w14:paraId="6A6769C5" w14:textId="35883B99" w:rsidR="00580385" w:rsidRPr="009E75E4" w:rsidRDefault="00580385" w:rsidP="009E75E4">
      <w:pPr>
        <w:pStyle w:val="Default"/>
        <w:numPr>
          <w:ilvl w:val="0"/>
          <w:numId w:val="33"/>
        </w:numPr>
        <w:spacing w:after="20"/>
        <w:rPr>
          <w:sz w:val="22"/>
          <w:szCs w:val="22"/>
        </w:rPr>
      </w:pPr>
      <w:r w:rsidRPr="00580385">
        <w:rPr>
          <w:sz w:val="22"/>
          <w:szCs w:val="22"/>
        </w:rPr>
        <w:t>Remember to check all storage areas for dressing items prescribed</w:t>
      </w:r>
      <w:r w:rsidR="006C48D2">
        <w:rPr>
          <w:sz w:val="22"/>
          <w:szCs w:val="22"/>
        </w:rPr>
        <w:t>,</w:t>
      </w:r>
      <w:r w:rsidRPr="00580385">
        <w:rPr>
          <w:sz w:val="22"/>
          <w:szCs w:val="22"/>
        </w:rPr>
        <w:t xml:space="preserve"> before requesting further supplies</w:t>
      </w:r>
    </w:p>
    <w:p w14:paraId="1C51A4DA" w14:textId="77777777" w:rsidR="003328C1" w:rsidRDefault="003328C1" w:rsidP="00781974">
      <w:pPr>
        <w:pStyle w:val="Default"/>
        <w:numPr>
          <w:ilvl w:val="0"/>
          <w:numId w:val="32"/>
        </w:numPr>
        <w:spacing w:after="20"/>
        <w:rPr>
          <w:sz w:val="22"/>
          <w:szCs w:val="22"/>
        </w:rPr>
      </w:pPr>
      <w:r w:rsidRPr="00862974">
        <w:rPr>
          <w:sz w:val="22"/>
          <w:szCs w:val="22"/>
        </w:rPr>
        <w:t>The frequency of dressing change should be appropriate for the wound and dressing type.</w:t>
      </w:r>
      <w:r w:rsidR="00C76068">
        <w:rPr>
          <w:sz w:val="22"/>
          <w:szCs w:val="22"/>
        </w:rPr>
        <w:t xml:space="preserve"> </w:t>
      </w:r>
      <w:r w:rsidR="00A1122F">
        <w:rPr>
          <w:sz w:val="22"/>
          <w:szCs w:val="22"/>
        </w:rPr>
        <w:t>As a guide a maximum period would be:</w:t>
      </w:r>
    </w:p>
    <w:p w14:paraId="032E0376" w14:textId="77777777" w:rsidR="00CF28D3" w:rsidRDefault="00CF28D3" w:rsidP="00CF28D3">
      <w:pPr>
        <w:pStyle w:val="Default"/>
        <w:spacing w:after="20"/>
        <w:ind w:left="720"/>
        <w:rPr>
          <w:sz w:val="22"/>
          <w:szCs w:val="22"/>
        </w:rPr>
      </w:pPr>
    </w:p>
    <w:p w14:paraId="17476531" w14:textId="3763598F" w:rsidR="00A1122F" w:rsidRDefault="00A1122F" w:rsidP="006A5B10">
      <w:pPr>
        <w:pStyle w:val="Default"/>
        <w:numPr>
          <w:ilvl w:val="1"/>
          <w:numId w:val="32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Daily change: </w:t>
      </w:r>
      <w:r w:rsidR="009E75E4">
        <w:rPr>
          <w:sz w:val="22"/>
          <w:szCs w:val="22"/>
        </w:rPr>
        <w:tab/>
      </w:r>
      <w:r w:rsidR="009E75E4">
        <w:rPr>
          <w:sz w:val="22"/>
          <w:szCs w:val="22"/>
        </w:rPr>
        <w:tab/>
      </w:r>
      <w:r w:rsidR="009E75E4">
        <w:rPr>
          <w:sz w:val="22"/>
          <w:szCs w:val="22"/>
        </w:rPr>
        <w:tab/>
      </w:r>
      <w:r w:rsidRPr="00A1122F">
        <w:rPr>
          <w:b/>
          <w:sz w:val="22"/>
          <w:szCs w:val="22"/>
        </w:rPr>
        <w:t xml:space="preserve">7-14 </w:t>
      </w:r>
      <w:r w:rsidR="00C76068" w:rsidRPr="00A1122F">
        <w:rPr>
          <w:b/>
          <w:sz w:val="22"/>
          <w:szCs w:val="22"/>
        </w:rPr>
        <w:t>day</w:t>
      </w:r>
      <w:r w:rsidR="006A5B10">
        <w:rPr>
          <w:b/>
          <w:sz w:val="22"/>
          <w:szCs w:val="22"/>
        </w:rPr>
        <w:t>s</w:t>
      </w:r>
      <w:r>
        <w:rPr>
          <w:sz w:val="22"/>
          <w:szCs w:val="22"/>
        </w:rPr>
        <w:t xml:space="preserve"> supply</w:t>
      </w:r>
    </w:p>
    <w:p w14:paraId="2901B96F" w14:textId="77777777" w:rsidR="00A1122F" w:rsidRDefault="00A1122F" w:rsidP="006A5B10">
      <w:pPr>
        <w:pStyle w:val="Default"/>
        <w:numPr>
          <w:ilvl w:val="1"/>
          <w:numId w:val="32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>2-3 times a week change</w:t>
      </w:r>
      <w:r w:rsidRPr="00A1122F">
        <w:rPr>
          <w:b/>
          <w:sz w:val="22"/>
          <w:szCs w:val="22"/>
        </w:rPr>
        <w:t xml:space="preserve">: </w:t>
      </w:r>
      <w:r w:rsidR="009E75E4">
        <w:rPr>
          <w:b/>
          <w:sz w:val="22"/>
          <w:szCs w:val="22"/>
        </w:rPr>
        <w:tab/>
      </w:r>
      <w:r w:rsidRPr="00A1122F">
        <w:rPr>
          <w:b/>
          <w:sz w:val="22"/>
          <w:szCs w:val="22"/>
        </w:rPr>
        <w:t>2 weeks</w:t>
      </w:r>
      <w:r>
        <w:rPr>
          <w:sz w:val="22"/>
          <w:szCs w:val="22"/>
        </w:rPr>
        <w:t xml:space="preserve"> supply</w:t>
      </w:r>
    </w:p>
    <w:p w14:paraId="42339D62" w14:textId="77777777" w:rsidR="00A1122F" w:rsidRDefault="00A1122F" w:rsidP="006A5B10">
      <w:pPr>
        <w:pStyle w:val="Default"/>
        <w:numPr>
          <w:ilvl w:val="1"/>
          <w:numId w:val="32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Weekly change: </w:t>
      </w:r>
      <w:r w:rsidR="009E75E4">
        <w:rPr>
          <w:sz w:val="22"/>
          <w:szCs w:val="22"/>
        </w:rPr>
        <w:tab/>
      </w:r>
      <w:r w:rsidR="009E75E4">
        <w:rPr>
          <w:sz w:val="22"/>
          <w:szCs w:val="22"/>
        </w:rPr>
        <w:tab/>
      </w:r>
      <w:r w:rsidRPr="00A1122F">
        <w:rPr>
          <w:b/>
          <w:sz w:val="22"/>
          <w:szCs w:val="22"/>
        </w:rPr>
        <w:t>3 weeks</w:t>
      </w:r>
      <w:r>
        <w:rPr>
          <w:sz w:val="22"/>
          <w:szCs w:val="22"/>
        </w:rPr>
        <w:t xml:space="preserve"> supply</w:t>
      </w:r>
    </w:p>
    <w:p w14:paraId="51298C12" w14:textId="77777777" w:rsidR="00C76068" w:rsidRDefault="00C76068" w:rsidP="00A1122F">
      <w:pPr>
        <w:pStyle w:val="Default"/>
        <w:spacing w:after="20"/>
        <w:ind w:left="720"/>
        <w:rPr>
          <w:sz w:val="22"/>
          <w:szCs w:val="22"/>
        </w:rPr>
      </w:pPr>
    </w:p>
    <w:p w14:paraId="41EF75B7" w14:textId="3CCFD491" w:rsidR="00134CA5" w:rsidRDefault="00BC73DB" w:rsidP="00134CA5">
      <w:pPr>
        <w:pStyle w:val="Default"/>
        <w:numPr>
          <w:ilvl w:val="0"/>
          <w:numId w:val="32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Prescribers </w:t>
      </w:r>
      <w:r w:rsidR="00134CA5">
        <w:rPr>
          <w:sz w:val="22"/>
          <w:szCs w:val="22"/>
        </w:rPr>
        <w:t xml:space="preserve">are advised </w:t>
      </w:r>
      <w:r w:rsidR="00134CA5" w:rsidRPr="006A5B10">
        <w:rPr>
          <w:b/>
          <w:bCs/>
          <w:sz w:val="22"/>
          <w:szCs w:val="22"/>
          <w:u w:val="single"/>
        </w:rPr>
        <w:t>not</w:t>
      </w:r>
      <w:r w:rsidR="00134CA5">
        <w:rPr>
          <w:sz w:val="22"/>
          <w:szCs w:val="22"/>
        </w:rPr>
        <w:t xml:space="preserve"> to put wound care products on repeat</w:t>
      </w:r>
      <w:r w:rsidR="009E75E4">
        <w:rPr>
          <w:sz w:val="22"/>
          <w:szCs w:val="22"/>
        </w:rPr>
        <w:t xml:space="preserve"> prescription</w:t>
      </w:r>
    </w:p>
    <w:p w14:paraId="1A83CBE5" w14:textId="77777777" w:rsidR="002E3980" w:rsidRDefault="002E3980" w:rsidP="002E3980">
      <w:pPr>
        <w:pStyle w:val="Default"/>
        <w:spacing w:after="20"/>
        <w:ind w:left="720"/>
        <w:rPr>
          <w:sz w:val="22"/>
          <w:szCs w:val="22"/>
        </w:rPr>
      </w:pPr>
    </w:p>
    <w:p w14:paraId="4D31BE92" w14:textId="796F9A76" w:rsidR="002E3980" w:rsidRDefault="002E3980" w:rsidP="002E3980">
      <w:pPr>
        <w:pStyle w:val="Default"/>
        <w:spacing w:after="20"/>
        <w:rPr>
          <w:sz w:val="22"/>
          <w:szCs w:val="22"/>
        </w:rPr>
      </w:pPr>
      <w:r>
        <w:rPr>
          <w:sz w:val="22"/>
          <w:szCs w:val="22"/>
        </w:rPr>
        <w:t>These recommendations will be dependent on an assessment of the individual patient and the progress of wound healing</w:t>
      </w:r>
      <w:r w:rsidR="006A5B10">
        <w:rPr>
          <w:sz w:val="22"/>
          <w:szCs w:val="22"/>
        </w:rPr>
        <w:t>.</w:t>
      </w:r>
    </w:p>
    <w:p w14:paraId="0868D197" w14:textId="77777777" w:rsidR="00DA3D65" w:rsidRPr="00862974" w:rsidRDefault="00DA3D65" w:rsidP="00C135C3">
      <w:pPr>
        <w:pStyle w:val="Default"/>
        <w:spacing w:after="20"/>
        <w:ind w:left="1418"/>
        <w:rPr>
          <w:b/>
          <w:sz w:val="22"/>
          <w:szCs w:val="22"/>
        </w:rPr>
      </w:pPr>
    </w:p>
    <w:p w14:paraId="383D4C92" w14:textId="77777777" w:rsidR="008D2EF8" w:rsidRPr="00C76068" w:rsidRDefault="008D2EF8" w:rsidP="00C76068">
      <w:pPr>
        <w:spacing w:after="20" w:line="240" w:lineRule="auto"/>
        <w:rPr>
          <w:rFonts w:ascii="Arial" w:hAnsi="Arial" w:cs="Arial"/>
          <w:b/>
        </w:rPr>
      </w:pPr>
      <w:r w:rsidRPr="00C76068">
        <w:rPr>
          <w:rFonts w:ascii="Arial" w:hAnsi="Arial" w:cs="Arial"/>
          <w:b/>
        </w:rPr>
        <w:t>Take care if compression bandages are requested</w:t>
      </w:r>
    </w:p>
    <w:p w14:paraId="22AF5827" w14:textId="77777777" w:rsidR="00D76736" w:rsidRPr="00862974" w:rsidRDefault="00D76736" w:rsidP="00C135C3">
      <w:pPr>
        <w:spacing w:after="20" w:line="240" w:lineRule="auto"/>
        <w:rPr>
          <w:rFonts w:ascii="Arial" w:hAnsi="Arial" w:cs="Arial"/>
        </w:rPr>
      </w:pPr>
    </w:p>
    <w:p w14:paraId="3BD5A536" w14:textId="77777777" w:rsidR="00BB6FC2" w:rsidRPr="00C76068" w:rsidRDefault="00BB6FC2" w:rsidP="00C76068">
      <w:pPr>
        <w:pStyle w:val="ListParagraph"/>
        <w:numPr>
          <w:ilvl w:val="0"/>
          <w:numId w:val="37"/>
        </w:numPr>
        <w:spacing w:after="20" w:line="240" w:lineRule="auto"/>
        <w:rPr>
          <w:rFonts w:ascii="Arial" w:hAnsi="Arial" w:cs="Arial"/>
        </w:rPr>
      </w:pPr>
      <w:r w:rsidRPr="00C76068">
        <w:rPr>
          <w:rFonts w:ascii="Arial" w:hAnsi="Arial" w:cs="Arial"/>
        </w:rPr>
        <w:t xml:space="preserve">Compression bandaging should only be applied following </w:t>
      </w:r>
      <w:r w:rsidR="00BB6057">
        <w:rPr>
          <w:rFonts w:ascii="Arial" w:hAnsi="Arial" w:cs="Arial"/>
        </w:rPr>
        <w:t xml:space="preserve">full assessment including </w:t>
      </w:r>
      <w:r w:rsidRPr="00C76068">
        <w:rPr>
          <w:rFonts w:ascii="Arial" w:hAnsi="Arial" w:cs="Arial"/>
        </w:rPr>
        <w:t xml:space="preserve">Doppler </w:t>
      </w:r>
      <w:r w:rsidR="00BB6057">
        <w:rPr>
          <w:rFonts w:ascii="Arial" w:hAnsi="Arial" w:cs="Arial"/>
        </w:rPr>
        <w:t>ABPI measurement</w:t>
      </w:r>
      <w:r w:rsidR="00C80051" w:rsidRPr="00C76068">
        <w:rPr>
          <w:rFonts w:ascii="Arial" w:hAnsi="Arial" w:cs="Arial"/>
        </w:rPr>
        <w:t>.</w:t>
      </w:r>
    </w:p>
    <w:p w14:paraId="0E2FE8AE" w14:textId="77777777" w:rsidR="00D76736" w:rsidRPr="00C76068" w:rsidRDefault="008D2EF8" w:rsidP="00C76068">
      <w:pPr>
        <w:pStyle w:val="ListParagraph"/>
        <w:numPr>
          <w:ilvl w:val="0"/>
          <w:numId w:val="37"/>
        </w:numPr>
        <w:spacing w:after="20" w:line="240" w:lineRule="auto"/>
        <w:rPr>
          <w:rFonts w:ascii="Arial" w:hAnsi="Arial" w:cs="Arial"/>
        </w:rPr>
      </w:pPr>
      <w:r w:rsidRPr="00C76068">
        <w:rPr>
          <w:rFonts w:ascii="Arial" w:hAnsi="Arial" w:cs="Arial"/>
        </w:rPr>
        <w:t xml:space="preserve">These should only be applied by </w:t>
      </w:r>
      <w:r w:rsidR="00BB6057">
        <w:rPr>
          <w:rFonts w:ascii="Arial" w:hAnsi="Arial" w:cs="Arial"/>
        </w:rPr>
        <w:t>specifically trained</w:t>
      </w:r>
      <w:r w:rsidR="002A46B5" w:rsidRPr="00C76068">
        <w:rPr>
          <w:rFonts w:ascii="Arial" w:hAnsi="Arial" w:cs="Arial"/>
        </w:rPr>
        <w:t xml:space="preserve"> </w:t>
      </w:r>
      <w:r w:rsidR="00646A65" w:rsidRPr="00C76068">
        <w:rPr>
          <w:rFonts w:ascii="Arial" w:hAnsi="Arial" w:cs="Arial"/>
        </w:rPr>
        <w:t>staff</w:t>
      </w:r>
      <w:r w:rsidR="00646A65">
        <w:rPr>
          <w:rFonts w:ascii="Arial" w:hAnsi="Arial" w:cs="Arial"/>
        </w:rPr>
        <w:t>,</w:t>
      </w:r>
      <w:r w:rsidR="00646A65" w:rsidRPr="00C76068">
        <w:rPr>
          <w:rFonts w:ascii="Arial" w:hAnsi="Arial" w:cs="Arial"/>
        </w:rPr>
        <w:t xml:space="preserve"> competent</w:t>
      </w:r>
      <w:r w:rsidR="002A46B5" w:rsidRPr="00C76068">
        <w:rPr>
          <w:rFonts w:ascii="Arial" w:hAnsi="Arial" w:cs="Arial"/>
        </w:rPr>
        <w:t xml:space="preserve"> in applying this </w:t>
      </w:r>
      <w:r w:rsidR="008532EB" w:rsidRPr="00C76068">
        <w:rPr>
          <w:rFonts w:ascii="Arial" w:hAnsi="Arial" w:cs="Arial"/>
        </w:rPr>
        <w:t xml:space="preserve">type of </w:t>
      </w:r>
      <w:r w:rsidR="002A46B5" w:rsidRPr="00C76068">
        <w:rPr>
          <w:rFonts w:ascii="Arial" w:hAnsi="Arial" w:cs="Arial"/>
        </w:rPr>
        <w:t>dressing</w:t>
      </w:r>
      <w:r w:rsidR="00C80051" w:rsidRPr="00C76068">
        <w:rPr>
          <w:rFonts w:ascii="Arial" w:hAnsi="Arial" w:cs="Arial"/>
        </w:rPr>
        <w:t>.</w:t>
      </w:r>
      <w:r w:rsidR="00BB6057">
        <w:rPr>
          <w:rFonts w:ascii="Arial" w:hAnsi="Arial" w:cs="Arial"/>
        </w:rPr>
        <w:t xml:space="preserve"> </w:t>
      </w:r>
    </w:p>
    <w:p w14:paraId="5EFE0971" w14:textId="77777777" w:rsidR="00D76736" w:rsidRPr="00C76068" w:rsidRDefault="00D76736" w:rsidP="00C76068">
      <w:pPr>
        <w:pStyle w:val="ListParagraph"/>
        <w:numPr>
          <w:ilvl w:val="0"/>
          <w:numId w:val="37"/>
        </w:numPr>
        <w:spacing w:after="20" w:line="240" w:lineRule="auto"/>
        <w:rPr>
          <w:rFonts w:ascii="Arial" w:hAnsi="Arial" w:cs="Arial"/>
        </w:rPr>
      </w:pPr>
      <w:r w:rsidRPr="00C76068">
        <w:rPr>
          <w:rFonts w:ascii="Arial" w:hAnsi="Arial" w:cs="Arial"/>
        </w:rPr>
        <w:t>They s</w:t>
      </w:r>
      <w:r w:rsidR="008D2EF8" w:rsidRPr="00C76068">
        <w:rPr>
          <w:rFonts w:ascii="Arial" w:hAnsi="Arial" w:cs="Arial"/>
        </w:rPr>
        <w:t xml:space="preserve">hould be left on for up to 7 days, therefore </w:t>
      </w:r>
      <w:r w:rsidR="002A46B5" w:rsidRPr="00C76068">
        <w:rPr>
          <w:rFonts w:ascii="Arial" w:hAnsi="Arial" w:cs="Arial"/>
        </w:rPr>
        <w:t xml:space="preserve">the normal </w:t>
      </w:r>
      <w:r w:rsidR="008D2EF8" w:rsidRPr="00C76068">
        <w:rPr>
          <w:rFonts w:ascii="Arial" w:hAnsi="Arial" w:cs="Arial"/>
        </w:rPr>
        <w:t xml:space="preserve">maximum monthly supply is 5 </w:t>
      </w:r>
      <w:r w:rsidR="00BB6FC2" w:rsidRPr="00C76068">
        <w:rPr>
          <w:rFonts w:ascii="Arial" w:hAnsi="Arial" w:cs="Arial"/>
        </w:rPr>
        <w:t xml:space="preserve">items per product </w:t>
      </w:r>
      <w:r w:rsidR="00F67C95" w:rsidRPr="00C76068">
        <w:rPr>
          <w:rFonts w:ascii="Arial" w:hAnsi="Arial" w:cs="Arial"/>
        </w:rPr>
        <w:t>i.e.</w:t>
      </w:r>
      <w:r w:rsidR="00BB6FC2" w:rsidRPr="00C76068">
        <w:rPr>
          <w:rFonts w:ascii="Arial" w:hAnsi="Arial" w:cs="Arial"/>
        </w:rPr>
        <w:t xml:space="preserve"> bandage/wadding etc.</w:t>
      </w:r>
      <w:r w:rsidR="002A46B5" w:rsidRPr="00C76068">
        <w:rPr>
          <w:rFonts w:ascii="Arial" w:hAnsi="Arial" w:cs="Arial"/>
        </w:rPr>
        <w:t xml:space="preserve">  If the dressing has to be changed more regularly a larger quantity will be required.</w:t>
      </w:r>
    </w:p>
    <w:p w14:paraId="52BD10A9" w14:textId="1922B13F" w:rsidR="00742700" w:rsidRPr="00C76068" w:rsidRDefault="008D2EF8" w:rsidP="00C76068">
      <w:pPr>
        <w:pStyle w:val="ListParagraph"/>
        <w:numPr>
          <w:ilvl w:val="0"/>
          <w:numId w:val="37"/>
        </w:numPr>
        <w:spacing w:after="20" w:line="240" w:lineRule="auto"/>
        <w:rPr>
          <w:rFonts w:ascii="Arial" w:hAnsi="Arial" w:cs="Arial"/>
        </w:rPr>
      </w:pPr>
      <w:r w:rsidRPr="00C76068">
        <w:rPr>
          <w:rFonts w:ascii="Arial" w:hAnsi="Arial" w:cs="Arial"/>
        </w:rPr>
        <w:t xml:space="preserve">Compression bandaging is a </w:t>
      </w:r>
      <w:r w:rsidR="006C48D2" w:rsidRPr="00C76068">
        <w:rPr>
          <w:rFonts w:ascii="Arial" w:hAnsi="Arial" w:cs="Arial"/>
        </w:rPr>
        <w:t>short-term</w:t>
      </w:r>
      <w:r w:rsidRPr="00C76068">
        <w:rPr>
          <w:rFonts w:ascii="Arial" w:hAnsi="Arial" w:cs="Arial"/>
        </w:rPr>
        <w:t xml:space="preserve"> </w:t>
      </w:r>
      <w:r w:rsidR="00D76736" w:rsidRPr="00C76068">
        <w:rPr>
          <w:rFonts w:ascii="Arial" w:hAnsi="Arial" w:cs="Arial"/>
        </w:rPr>
        <w:t>inte</w:t>
      </w:r>
      <w:r w:rsidR="00BB6057">
        <w:rPr>
          <w:rFonts w:ascii="Arial" w:hAnsi="Arial" w:cs="Arial"/>
        </w:rPr>
        <w:t>rvention and for leg ulceration cases full reassessment should be undertaken every 12 weeks when the ulcer is open</w:t>
      </w:r>
      <w:r w:rsidR="006C48D2">
        <w:rPr>
          <w:rFonts w:ascii="Arial" w:hAnsi="Arial" w:cs="Arial"/>
        </w:rPr>
        <w:t>. T</w:t>
      </w:r>
      <w:r w:rsidR="00BB6057">
        <w:rPr>
          <w:rFonts w:ascii="Arial" w:hAnsi="Arial" w:cs="Arial"/>
        </w:rPr>
        <w:t>he bandages should not be put on repeat</w:t>
      </w:r>
      <w:r w:rsidRPr="00C76068">
        <w:rPr>
          <w:rFonts w:ascii="Arial" w:hAnsi="Arial" w:cs="Arial"/>
        </w:rPr>
        <w:t>.</w:t>
      </w:r>
    </w:p>
    <w:p w14:paraId="3A3510B7" w14:textId="77777777" w:rsidR="00742700" w:rsidRPr="00862974" w:rsidRDefault="00742700" w:rsidP="00C135C3">
      <w:pPr>
        <w:spacing w:after="20" w:line="240" w:lineRule="auto"/>
        <w:rPr>
          <w:rFonts w:ascii="Arial" w:hAnsi="Arial" w:cs="Arial"/>
          <w:b/>
        </w:rPr>
      </w:pPr>
    </w:p>
    <w:p w14:paraId="20CF16D9" w14:textId="77777777" w:rsidR="00742700" w:rsidRPr="00C76068" w:rsidRDefault="00B51759" w:rsidP="00C76068">
      <w:pPr>
        <w:spacing w:after="20" w:line="240" w:lineRule="auto"/>
        <w:rPr>
          <w:rFonts w:ascii="Arial" w:hAnsi="Arial" w:cs="Arial"/>
          <w:b/>
        </w:rPr>
      </w:pPr>
      <w:r w:rsidRPr="00C76068">
        <w:rPr>
          <w:rFonts w:ascii="Arial" w:hAnsi="Arial" w:cs="Arial"/>
          <w:b/>
        </w:rPr>
        <w:t xml:space="preserve">Do not routinely choose anti-microbial (for example, </w:t>
      </w:r>
      <w:r w:rsidR="00DF5B5F" w:rsidRPr="00C76068">
        <w:rPr>
          <w:rFonts w:ascii="Arial" w:hAnsi="Arial" w:cs="Arial"/>
          <w:b/>
        </w:rPr>
        <w:t>iodine</w:t>
      </w:r>
      <w:r w:rsidR="00DF5B5F">
        <w:rPr>
          <w:rFonts w:ascii="Arial" w:hAnsi="Arial" w:cs="Arial"/>
          <w:b/>
        </w:rPr>
        <w:t>,</w:t>
      </w:r>
      <w:r w:rsidR="00DF5B5F" w:rsidRPr="00C76068">
        <w:rPr>
          <w:rFonts w:ascii="Arial" w:hAnsi="Arial" w:cs="Arial"/>
          <w:b/>
        </w:rPr>
        <w:t xml:space="preserve"> honey</w:t>
      </w:r>
      <w:r w:rsidR="00DF5B5F">
        <w:rPr>
          <w:rFonts w:ascii="Arial" w:hAnsi="Arial" w:cs="Arial"/>
          <w:b/>
        </w:rPr>
        <w:t>, or</w:t>
      </w:r>
      <w:r w:rsidR="00DF5B5F" w:rsidRPr="00C76068">
        <w:rPr>
          <w:rFonts w:ascii="Arial" w:hAnsi="Arial" w:cs="Arial"/>
          <w:b/>
        </w:rPr>
        <w:t xml:space="preserve"> </w:t>
      </w:r>
      <w:r w:rsidRPr="00C76068">
        <w:rPr>
          <w:rFonts w:ascii="Arial" w:hAnsi="Arial" w:cs="Arial"/>
          <w:b/>
        </w:rPr>
        <w:t xml:space="preserve">silver) </w:t>
      </w:r>
      <w:r w:rsidR="00F67C95" w:rsidRPr="00C76068">
        <w:rPr>
          <w:rFonts w:ascii="Arial" w:hAnsi="Arial" w:cs="Arial"/>
          <w:b/>
        </w:rPr>
        <w:t>dressings</w:t>
      </w:r>
      <w:r w:rsidRPr="00C76068">
        <w:rPr>
          <w:rFonts w:ascii="Arial" w:hAnsi="Arial" w:cs="Arial"/>
          <w:b/>
        </w:rPr>
        <w:t xml:space="preserve"> ahead of non-</w:t>
      </w:r>
      <w:r w:rsidR="00F67C95" w:rsidRPr="00C76068">
        <w:rPr>
          <w:rFonts w:ascii="Arial" w:hAnsi="Arial" w:cs="Arial"/>
          <w:b/>
        </w:rPr>
        <w:t>medicated</w:t>
      </w:r>
      <w:r w:rsidRPr="00C76068">
        <w:rPr>
          <w:rFonts w:ascii="Arial" w:hAnsi="Arial" w:cs="Arial"/>
          <w:b/>
        </w:rPr>
        <w:t xml:space="preserve"> dressings</w:t>
      </w:r>
    </w:p>
    <w:p w14:paraId="43AC388E" w14:textId="77777777" w:rsidR="00DF5B5F" w:rsidRDefault="00DF5B5F" w:rsidP="00DF5B5F">
      <w:pPr>
        <w:spacing w:after="20" w:line="240" w:lineRule="auto"/>
        <w:rPr>
          <w:rFonts w:ascii="Arial" w:hAnsi="Arial" w:cs="Arial"/>
        </w:rPr>
      </w:pPr>
    </w:p>
    <w:p w14:paraId="4102827E" w14:textId="77777777" w:rsidR="00F67C95" w:rsidRPr="002E3980" w:rsidRDefault="00F67C95" w:rsidP="00DF5B5F">
      <w:pPr>
        <w:spacing w:after="20" w:line="240" w:lineRule="auto"/>
        <w:rPr>
          <w:rFonts w:ascii="Arial" w:hAnsi="Arial" w:cs="Arial"/>
        </w:rPr>
      </w:pPr>
      <w:r w:rsidRPr="002E3980">
        <w:rPr>
          <w:rFonts w:ascii="Arial" w:hAnsi="Arial" w:cs="Arial"/>
        </w:rPr>
        <w:t>There are large selections of anti-microbial products to choose from, silver is considered the final option.</w:t>
      </w:r>
    </w:p>
    <w:p w14:paraId="1854ECA0" w14:textId="77777777" w:rsidR="00F1093E" w:rsidRPr="00862974" w:rsidRDefault="00F1093E" w:rsidP="00C135C3">
      <w:pPr>
        <w:pStyle w:val="ListParagraph"/>
        <w:spacing w:after="20" w:line="240" w:lineRule="auto"/>
        <w:ind w:left="360"/>
        <w:rPr>
          <w:rFonts w:ascii="Arial" w:hAnsi="Arial" w:cs="Arial"/>
        </w:rPr>
      </w:pPr>
    </w:p>
    <w:p w14:paraId="0D06693B" w14:textId="62F680DF" w:rsidR="00742700" w:rsidRDefault="00AF6A67" w:rsidP="00C135C3">
      <w:pPr>
        <w:pStyle w:val="ListParagraph"/>
        <w:numPr>
          <w:ilvl w:val="0"/>
          <w:numId w:val="15"/>
        </w:num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all patients on silver dressings</w:t>
      </w:r>
      <w:r w:rsidR="0012602F">
        <w:rPr>
          <w:rFonts w:ascii="Arial" w:hAnsi="Arial" w:cs="Arial"/>
        </w:rPr>
        <w:t xml:space="preserve"> for suitability for switching to non-medicated standard dressings</w:t>
      </w:r>
      <w:r w:rsidR="006C48D2">
        <w:rPr>
          <w:rFonts w:ascii="Arial" w:hAnsi="Arial" w:cs="Arial"/>
        </w:rPr>
        <w:t>.</w:t>
      </w:r>
    </w:p>
    <w:p w14:paraId="49FFAB43" w14:textId="77777777" w:rsidR="0012602F" w:rsidRDefault="00AF6A67" w:rsidP="0012602F">
      <w:pPr>
        <w:pStyle w:val="ListParagraph"/>
        <w:numPr>
          <w:ilvl w:val="0"/>
          <w:numId w:val="15"/>
        </w:numPr>
        <w:spacing w:after="20" w:line="240" w:lineRule="auto"/>
        <w:rPr>
          <w:rFonts w:ascii="Arial" w:hAnsi="Arial" w:cs="Arial"/>
        </w:rPr>
      </w:pPr>
      <w:r w:rsidRPr="0012602F">
        <w:rPr>
          <w:rFonts w:ascii="Arial" w:hAnsi="Arial" w:cs="Arial"/>
        </w:rPr>
        <w:t xml:space="preserve">Prescribe or request a maximum of 5 silver dressings to cover a treatment period of 2 weeks. </w:t>
      </w:r>
    </w:p>
    <w:p w14:paraId="705A1755" w14:textId="77777777" w:rsidR="00AF6A67" w:rsidRPr="0012602F" w:rsidRDefault="00AF6A67" w:rsidP="0012602F">
      <w:pPr>
        <w:pStyle w:val="ListParagraph"/>
        <w:numPr>
          <w:ilvl w:val="0"/>
          <w:numId w:val="15"/>
        </w:numPr>
        <w:spacing w:after="20" w:line="240" w:lineRule="auto"/>
        <w:rPr>
          <w:rFonts w:ascii="Arial" w:hAnsi="Arial" w:cs="Arial"/>
        </w:rPr>
      </w:pPr>
      <w:r w:rsidRPr="0012602F">
        <w:rPr>
          <w:rFonts w:ascii="Arial" w:hAnsi="Arial" w:cs="Arial"/>
        </w:rPr>
        <w:t>Review any prescriptions for 5 or more silver dressings, and any silver dressings on repeat.</w:t>
      </w:r>
    </w:p>
    <w:p w14:paraId="4B3E0A98" w14:textId="77777777" w:rsidR="0040552E" w:rsidRPr="00862974" w:rsidRDefault="0040552E" w:rsidP="0040552E">
      <w:pPr>
        <w:pStyle w:val="ListParagraph"/>
        <w:numPr>
          <w:ilvl w:val="0"/>
          <w:numId w:val="15"/>
        </w:num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Silver dressings should only be prescribed on an acute prescription and not added to a repeat prescription</w:t>
      </w:r>
    </w:p>
    <w:p w14:paraId="262946A8" w14:textId="0B57D744" w:rsidR="00A41E8C" w:rsidRPr="00862974" w:rsidRDefault="00AF6A67" w:rsidP="00C135C3">
      <w:pPr>
        <w:pStyle w:val="ListParagraph"/>
        <w:numPr>
          <w:ilvl w:val="0"/>
          <w:numId w:val="15"/>
        </w:numPr>
        <w:spacing w:after="20" w:line="240" w:lineRule="auto"/>
        <w:rPr>
          <w:rFonts w:ascii="Arial" w:hAnsi="Arial" w:cs="Arial"/>
        </w:rPr>
      </w:pPr>
      <w:r w:rsidRPr="0040552E">
        <w:rPr>
          <w:rFonts w:ascii="Arial" w:hAnsi="Arial" w:cs="Arial"/>
        </w:rPr>
        <w:t>I</w:t>
      </w:r>
      <w:r w:rsidR="00A41E8C" w:rsidRPr="0040552E">
        <w:rPr>
          <w:rFonts w:ascii="Arial" w:hAnsi="Arial" w:cs="Arial"/>
        </w:rPr>
        <w:t>f</w:t>
      </w:r>
      <w:r w:rsidR="0012602F">
        <w:rPr>
          <w:rFonts w:ascii="Arial" w:hAnsi="Arial" w:cs="Arial"/>
        </w:rPr>
        <w:t xml:space="preserve"> a </w:t>
      </w:r>
      <w:r w:rsidR="00646A65">
        <w:rPr>
          <w:rFonts w:ascii="Arial" w:hAnsi="Arial" w:cs="Arial"/>
        </w:rPr>
        <w:t>wound</w:t>
      </w:r>
      <w:r w:rsidR="00A41E8C" w:rsidRPr="00862974">
        <w:rPr>
          <w:rFonts w:ascii="Arial" w:hAnsi="Arial" w:cs="Arial"/>
        </w:rPr>
        <w:t xml:space="preserve"> </w:t>
      </w:r>
      <w:r w:rsidR="0012602F">
        <w:rPr>
          <w:rFonts w:ascii="Arial" w:hAnsi="Arial" w:cs="Arial"/>
        </w:rPr>
        <w:t xml:space="preserve">is </w:t>
      </w:r>
      <w:r w:rsidR="00A41E8C" w:rsidRPr="00862974">
        <w:rPr>
          <w:rFonts w:ascii="Arial" w:hAnsi="Arial" w:cs="Arial"/>
        </w:rPr>
        <w:t>not showing signs of improvement</w:t>
      </w:r>
      <w:r w:rsidR="00F40749" w:rsidRPr="00862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after 2 weeks, </w:t>
      </w:r>
      <w:r w:rsidR="00F40749" w:rsidRPr="00862974">
        <w:rPr>
          <w:rFonts w:ascii="Arial" w:hAnsi="Arial" w:cs="Arial"/>
        </w:rPr>
        <w:t>discontinue use</w:t>
      </w:r>
      <w:r w:rsidR="00646A65">
        <w:rPr>
          <w:rFonts w:ascii="Arial" w:hAnsi="Arial" w:cs="Arial"/>
        </w:rPr>
        <w:t xml:space="preserve"> of silver dressing</w:t>
      </w:r>
      <w:r>
        <w:rPr>
          <w:rFonts w:ascii="Arial" w:hAnsi="Arial" w:cs="Arial"/>
        </w:rPr>
        <w:t xml:space="preserve"> and contact the Specialist Tissue Viability Nurse as per local policy</w:t>
      </w:r>
      <w:r w:rsidR="006C48D2">
        <w:rPr>
          <w:rFonts w:ascii="Arial" w:hAnsi="Arial" w:cs="Arial"/>
        </w:rPr>
        <w:t>.</w:t>
      </w:r>
    </w:p>
    <w:p w14:paraId="43212167" w14:textId="01767E84" w:rsidR="00B51759" w:rsidRPr="006C48D2" w:rsidRDefault="00742700" w:rsidP="00741850">
      <w:pPr>
        <w:pStyle w:val="ListParagraph"/>
        <w:numPr>
          <w:ilvl w:val="0"/>
          <w:numId w:val="15"/>
        </w:numPr>
        <w:spacing w:after="20" w:line="240" w:lineRule="auto"/>
        <w:rPr>
          <w:rFonts w:ascii="Arial" w:hAnsi="Arial" w:cs="Arial"/>
        </w:rPr>
      </w:pPr>
      <w:r w:rsidRPr="006C48D2">
        <w:rPr>
          <w:rFonts w:ascii="Arial" w:hAnsi="Arial" w:cs="Arial"/>
        </w:rPr>
        <w:t>Silver dressings will either have silver or Ag in the title</w:t>
      </w:r>
      <w:r w:rsidR="006C48D2" w:rsidRPr="006C48D2">
        <w:rPr>
          <w:rFonts w:ascii="Arial" w:hAnsi="Arial" w:cs="Arial"/>
        </w:rPr>
        <w:t xml:space="preserve"> - </w:t>
      </w:r>
      <w:r w:rsidR="006C48D2">
        <w:rPr>
          <w:rFonts w:ascii="Arial" w:hAnsi="Arial" w:cs="Arial"/>
        </w:rPr>
        <w:t>t</w:t>
      </w:r>
      <w:r w:rsidR="00B51759" w:rsidRPr="006C48D2">
        <w:rPr>
          <w:rFonts w:ascii="Arial" w:hAnsi="Arial" w:cs="Arial"/>
        </w:rPr>
        <w:t>ake care not to request the silver option on the screen</w:t>
      </w:r>
      <w:r w:rsidR="006C48D2">
        <w:rPr>
          <w:rFonts w:ascii="Arial" w:hAnsi="Arial" w:cs="Arial"/>
        </w:rPr>
        <w:t>.</w:t>
      </w:r>
    </w:p>
    <w:p w14:paraId="690B4CA0" w14:textId="77777777" w:rsidR="00DF5B5F" w:rsidRDefault="0012602F" w:rsidP="00DF5B5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DF5B5F">
        <w:rPr>
          <w:rFonts w:ascii="Arial" w:hAnsi="Arial" w:cs="Arial"/>
        </w:rPr>
        <w:t>Avoid dressings containing silver sulfadiazine, if applied to large areas or for a prolonged time, they can cause blood disorders or skin discolouration</w:t>
      </w:r>
    </w:p>
    <w:p w14:paraId="718778A7" w14:textId="77777777" w:rsidR="00DF5B5F" w:rsidRPr="00DF5B5F" w:rsidRDefault="00DF5B5F" w:rsidP="00DF5B5F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F5B5F">
        <w:rPr>
          <w:rFonts w:ascii="Arial" w:hAnsi="Arial" w:cs="Arial"/>
        </w:rPr>
        <w:t>PrescQIPP, Briefing 53, Wound Care, Silver Dressings</w:t>
      </w:r>
      <w:r>
        <w:rPr>
          <w:rFonts w:ascii="Arial" w:hAnsi="Arial" w:cs="Arial"/>
        </w:rPr>
        <w:t>)</w:t>
      </w:r>
    </w:p>
    <w:p w14:paraId="752C9966" w14:textId="77777777" w:rsidR="00DF5B5F" w:rsidRDefault="00DF5B5F" w:rsidP="00D942FB">
      <w:pPr>
        <w:spacing w:after="20" w:line="240" w:lineRule="auto"/>
        <w:rPr>
          <w:rFonts w:ascii="Arial" w:hAnsi="Arial" w:cs="Arial"/>
          <w:b/>
        </w:rPr>
      </w:pPr>
    </w:p>
    <w:p w14:paraId="4B05CC46" w14:textId="77777777" w:rsidR="00D942FB" w:rsidRPr="006A5B10" w:rsidRDefault="00D942FB" w:rsidP="00D942FB">
      <w:pPr>
        <w:spacing w:after="20" w:line="240" w:lineRule="auto"/>
        <w:rPr>
          <w:rFonts w:ascii="Arial" w:hAnsi="Arial" w:cs="Arial"/>
          <w:b/>
          <w:u w:val="single"/>
        </w:rPr>
      </w:pPr>
      <w:r w:rsidRPr="006A5B10">
        <w:rPr>
          <w:rFonts w:ascii="Arial" w:hAnsi="Arial" w:cs="Arial"/>
          <w:b/>
          <w:u w:val="single"/>
        </w:rPr>
        <w:t>Legal Issues</w:t>
      </w:r>
    </w:p>
    <w:p w14:paraId="387A7AC3" w14:textId="77777777" w:rsidR="00D942FB" w:rsidRDefault="00D942FB" w:rsidP="00D942FB">
      <w:pPr>
        <w:spacing w:after="20" w:line="240" w:lineRule="auto"/>
        <w:rPr>
          <w:rFonts w:ascii="Arial" w:hAnsi="Arial" w:cs="Arial"/>
        </w:rPr>
      </w:pPr>
    </w:p>
    <w:p w14:paraId="4DC462CE" w14:textId="77777777" w:rsidR="00D942FB" w:rsidRDefault="00D942FB" w:rsidP="00D942FB">
      <w:pPr>
        <w:pStyle w:val="ListParagraph"/>
        <w:numPr>
          <w:ilvl w:val="0"/>
          <w:numId w:val="34"/>
        </w:num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Remember wound care products are prescribed for individual patients and must only be used f</w:t>
      </w:r>
      <w:r w:rsidR="00646A65">
        <w:rPr>
          <w:rFonts w:ascii="Arial" w:hAnsi="Arial" w:cs="Arial"/>
        </w:rPr>
        <w:t>or that patient. They are their</w:t>
      </w:r>
      <w:r>
        <w:rPr>
          <w:rFonts w:ascii="Arial" w:hAnsi="Arial" w:cs="Arial"/>
        </w:rPr>
        <w:t xml:space="preserve"> property and it is illegal to use prescribed products for other patients</w:t>
      </w:r>
    </w:p>
    <w:p w14:paraId="020F5C1F" w14:textId="6CDE97C0" w:rsidR="00D942FB" w:rsidRDefault="00D942FB" w:rsidP="00D942FB">
      <w:pPr>
        <w:pStyle w:val="ListParagraph"/>
        <w:numPr>
          <w:ilvl w:val="0"/>
          <w:numId w:val="34"/>
        </w:num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Dressings are single use only and must not be re-used</w:t>
      </w:r>
      <w:r w:rsidR="006C48D2">
        <w:rPr>
          <w:rFonts w:ascii="Arial" w:hAnsi="Arial" w:cs="Arial"/>
        </w:rPr>
        <w:t>.</w:t>
      </w:r>
    </w:p>
    <w:p w14:paraId="224DB83A" w14:textId="77777777" w:rsidR="00D942FB" w:rsidRDefault="00D942FB" w:rsidP="00D942FB">
      <w:pPr>
        <w:spacing w:after="20" w:line="240" w:lineRule="auto"/>
        <w:rPr>
          <w:rFonts w:ascii="Arial" w:hAnsi="Arial" w:cs="Arial"/>
        </w:rPr>
      </w:pPr>
    </w:p>
    <w:p w14:paraId="1AA14DEF" w14:textId="2766F6F1" w:rsidR="00D942FB" w:rsidRPr="006A5B10" w:rsidRDefault="00D942FB" w:rsidP="00D942FB">
      <w:pPr>
        <w:spacing w:after="20" w:line="240" w:lineRule="auto"/>
        <w:rPr>
          <w:rFonts w:ascii="Arial" w:hAnsi="Arial" w:cs="Arial"/>
          <w:b/>
          <w:u w:val="single"/>
        </w:rPr>
      </w:pPr>
      <w:r w:rsidRPr="006A5B10">
        <w:rPr>
          <w:rFonts w:ascii="Arial" w:hAnsi="Arial" w:cs="Arial"/>
          <w:b/>
          <w:u w:val="single"/>
        </w:rPr>
        <w:t xml:space="preserve">Staff </w:t>
      </w:r>
      <w:r w:rsidR="006A5B10">
        <w:rPr>
          <w:rFonts w:ascii="Arial" w:hAnsi="Arial" w:cs="Arial"/>
          <w:b/>
          <w:u w:val="single"/>
        </w:rPr>
        <w:t>C</w:t>
      </w:r>
      <w:r w:rsidRPr="006A5B10">
        <w:rPr>
          <w:rFonts w:ascii="Arial" w:hAnsi="Arial" w:cs="Arial"/>
          <w:b/>
          <w:u w:val="single"/>
        </w:rPr>
        <w:t>ompetency</w:t>
      </w:r>
    </w:p>
    <w:p w14:paraId="39379188" w14:textId="77777777" w:rsidR="00D942FB" w:rsidRPr="00D942FB" w:rsidRDefault="00D942FB" w:rsidP="00D942FB">
      <w:pPr>
        <w:spacing w:after="20" w:line="240" w:lineRule="auto"/>
        <w:rPr>
          <w:rFonts w:ascii="Arial" w:hAnsi="Arial" w:cs="Arial"/>
          <w:b/>
        </w:rPr>
      </w:pPr>
    </w:p>
    <w:p w14:paraId="23D6E1BB" w14:textId="39E04C5E" w:rsidR="00D942FB" w:rsidRPr="00D942FB" w:rsidRDefault="00D942FB" w:rsidP="00D942FB">
      <w:pPr>
        <w:pStyle w:val="ListParagraph"/>
        <w:numPr>
          <w:ilvl w:val="0"/>
          <w:numId w:val="35"/>
        </w:num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Staff should undertake regular continuing professional development (CPD) and demonstrate evidence of competency with regards to wound care</w:t>
      </w:r>
      <w:r w:rsidR="006C48D2">
        <w:rPr>
          <w:rFonts w:ascii="Arial" w:hAnsi="Arial" w:cs="Arial"/>
        </w:rPr>
        <w:t>.</w:t>
      </w:r>
    </w:p>
    <w:p w14:paraId="059E75D0" w14:textId="77777777" w:rsidR="00DF5B5F" w:rsidRDefault="00DF5B5F" w:rsidP="00D942FB">
      <w:pPr>
        <w:spacing w:after="0" w:line="240" w:lineRule="auto"/>
        <w:rPr>
          <w:rFonts w:ascii="Arial" w:hAnsi="Arial" w:cs="Arial"/>
          <w:b/>
        </w:rPr>
      </w:pPr>
    </w:p>
    <w:p w14:paraId="2B1A6CDA" w14:textId="77777777" w:rsidR="003A5027" w:rsidRDefault="00196ED6" w:rsidP="00B113E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2974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37CE3A2" wp14:editId="4935A614">
                <wp:simplePos x="0" y="0"/>
                <wp:positionH relativeFrom="column">
                  <wp:posOffset>-3190875</wp:posOffset>
                </wp:positionH>
                <wp:positionV relativeFrom="paragraph">
                  <wp:posOffset>111760</wp:posOffset>
                </wp:positionV>
                <wp:extent cx="1981200" cy="0"/>
                <wp:effectExtent l="38100" t="38100" r="38100" b="38100"/>
                <wp:wrapNone/>
                <wp:docPr id="1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28575" cap="sq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375A0" id="Straight Connector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1.25pt,8.8pt" to="-95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" strokecolor="#4a7ebb" strokeweight="2.25pt">
                <v:stroke endcap="square"/>
                <o:lock v:ext="edit" shapetype="f"/>
              </v:line>
            </w:pict>
          </mc:Fallback>
        </mc:AlternateContent>
      </w:r>
    </w:p>
    <w:p w14:paraId="2FCEBB31" w14:textId="67532114" w:rsidR="003A5027" w:rsidRPr="003A5027" w:rsidRDefault="003A5027" w:rsidP="00B113E1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A5027" w:rsidRPr="003A5027" w:rsidSect="005D113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5444A" w14:textId="77777777" w:rsidR="005F46A1" w:rsidRDefault="005F46A1" w:rsidP="00F1093E">
      <w:pPr>
        <w:spacing w:after="0" w:line="240" w:lineRule="auto"/>
      </w:pPr>
      <w:r>
        <w:separator/>
      </w:r>
    </w:p>
  </w:endnote>
  <w:endnote w:type="continuationSeparator" w:id="0">
    <w:p w14:paraId="44672516" w14:textId="77777777" w:rsidR="005F46A1" w:rsidRDefault="005F46A1" w:rsidP="00F1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60BA" w14:textId="10B4E556" w:rsidR="007D6F42" w:rsidRDefault="007D6F42">
    <w:pPr>
      <w:pStyle w:val="Footer"/>
    </w:pPr>
    <w:r>
      <w:t>Adapted by NHS Devon CCG June 2020, and acknowledgement to the Medicines Management Team, Ipswich and East Suffolk</w:t>
    </w:r>
  </w:p>
  <w:p w14:paraId="43E877CF" w14:textId="77777777" w:rsidR="007D6F42" w:rsidRDefault="007D6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2C21" w14:textId="77777777" w:rsidR="005F46A1" w:rsidRDefault="005F46A1" w:rsidP="00F1093E">
      <w:pPr>
        <w:spacing w:after="0" w:line="240" w:lineRule="auto"/>
      </w:pPr>
      <w:r>
        <w:separator/>
      </w:r>
    </w:p>
  </w:footnote>
  <w:footnote w:type="continuationSeparator" w:id="0">
    <w:p w14:paraId="099C8986" w14:textId="77777777" w:rsidR="005F46A1" w:rsidRDefault="005F46A1" w:rsidP="00F1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F17B" w14:textId="77777777" w:rsidR="00973A2C" w:rsidRDefault="008735A0">
    <w:pPr>
      <w:pStyle w:val="Header"/>
    </w:pPr>
    <w:r>
      <w:rPr>
        <w:noProof/>
      </w:rPr>
      <w:pict w14:anchorId="0B5AC5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8401" o:spid="_x0000_s4098" type="#_x0000_t136" style="position:absolute;margin-left:0;margin-top:0;width:567.5pt;height:1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uidanc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C4C5" w14:textId="77777777" w:rsidR="007B57D7" w:rsidRDefault="008735A0" w:rsidP="00F1093E">
    <w:pPr>
      <w:pStyle w:val="Header"/>
      <w:jc w:val="right"/>
    </w:pPr>
    <w:r>
      <w:rPr>
        <w:noProof/>
      </w:rPr>
      <w:pict w14:anchorId="34548D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8402" o:spid="_x0000_s4099" type="#_x0000_t136" style="position:absolute;left:0;text-align:left;margin-left:0;margin-top:0;width:567.5pt;height:1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uidanc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5B46" w14:textId="77777777" w:rsidR="00973A2C" w:rsidRDefault="008735A0">
    <w:pPr>
      <w:pStyle w:val="Header"/>
    </w:pPr>
    <w:r>
      <w:rPr>
        <w:noProof/>
      </w:rPr>
      <w:pict w14:anchorId="2AD31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18400" o:spid="_x0000_s4097" type="#_x0000_t136" style="position:absolute;margin-left:0;margin-top:0;width:567.5pt;height:17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uidanc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865"/>
    <w:multiLevelType w:val="hybridMultilevel"/>
    <w:tmpl w:val="00BE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B9F"/>
    <w:multiLevelType w:val="hybridMultilevel"/>
    <w:tmpl w:val="5308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F0EAE"/>
    <w:multiLevelType w:val="hybridMultilevel"/>
    <w:tmpl w:val="95C67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B0CB7"/>
    <w:multiLevelType w:val="hybridMultilevel"/>
    <w:tmpl w:val="E892C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3216F"/>
    <w:multiLevelType w:val="hybridMultilevel"/>
    <w:tmpl w:val="5642A10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000D02"/>
    <w:multiLevelType w:val="hybridMultilevel"/>
    <w:tmpl w:val="67E2D0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32269"/>
    <w:multiLevelType w:val="hybridMultilevel"/>
    <w:tmpl w:val="6CB6F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0D8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4ACF"/>
    <w:multiLevelType w:val="hybridMultilevel"/>
    <w:tmpl w:val="C936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57E31"/>
    <w:multiLevelType w:val="hybridMultilevel"/>
    <w:tmpl w:val="BF6C3A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7023F"/>
    <w:multiLevelType w:val="hybridMultilevel"/>
    <w:tmpl w:val="4FBC34DA"/>
    <w:lvl w:ilvl="0" w:tplc="08090003">
      <w:start w:val="1"/>
      <w:numFmt w:val="bullet"/>
      <w:lvlText w:val="o"/>
      <w:lvlJc w:val="left"/>
      <w:pPr>
        <w:ind w:left="60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1BA258C0"/>
    <w:multiLevelType w:val="hybridMultilevel"/>
    <w:tmpl w:val="2FC27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F2F60"/>
    <w:multiLevelType w:val="multilevel"/>
    <w:tmpl w:val="48BE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E769E6"/>
    <w:multiLevelType w:val="hybridMultilevel"/>
    <w:tmpl w:val="AFF6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4872"/>
    <w:multiLevelType w:val="hybridMultilevel"/>
    <w:tmpl w:val="12D4AF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5005E"/>
    <w:multiLevelType w:val="hybridMultilevel"/>
    <w:tmpl w:val="2B526E96"/>
    <w:lvl w:ilvl="0" w:tplc="5B6A4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60A8B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05E78"/>
    <w:multiLevelType w:val="hybridMultilevel"/>
    <w:tmpl w:val="3236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B0798"/>
    <w:multiLevelType w:val="hybridMultilevel"/>
    <w:tmpl w:val="F73C743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C93AE3"/>
    <w:multiLevelType w:val="hybridMultilevel"/>
    <w:tmpl w:val="AE1CFE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FC217B"/>
    <w:multiLevelType w:val="hybridMultilevel"/>
    <w:tmpl w:val="553C46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507CB"/>
    <w:multiLevelType w:val="hybridMultilevel"/>
    <w:tmpl w:val="16FE7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6F617A"/>
    <w:multiLevelType w:val="hybridMultilevel"/>
    <w:tmpl w:val="8C7E2E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48357D"/>
    <w:multiLevelType w:val="hybridMultilevel"/>
    <w:tmpl w:val="FEB86E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262F97"/>
    <w:multiLevelType w:val="hybridMultilevel"/>
    <w:tmpl w:val="2044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F1ED1"/>
    <w:multiLevelType w:val="hybridMultilevel"/>
    <w:tmpl w:val="8012BED0"/>
    <w:lvl w:ilvl="0" w:tplc="08090003">
      <w:start w:val="1"/>
      <w:numFmt w:val="bullet"/>
      <w:lvlText w:val="o"/>
      <w:lvlJc w:val="left"/>
      <w:pPr>
        <w:ind w:left="-109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3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</w:abstractNum>
  <w:abstractNum w:abstractNumId="24" w15:restartNumberingAfterBreak="0">
    <w:nsid w:val="5011668A"/>
    <w:multiLevelType w:val="hybridMultilevel"/>
    <w:tmpl w:val="26DA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62DF0"/>
    <w:multiLevelType w:val="hybridMultilevel"/>
    <w:tmpl w:val="799E1D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F18E7"/>
    <w:multiLevelType w:val="hybridMultilevel"/>
    <w:tmpl w:val="05304B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60ADD"/>
    <w:multiLevelType w:val="hybridMultilevel"/>
    <w:tmpl w:val="2F7C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824C5"/>
    <w:multiLevelType w:val="hybridMultilevel"/>
    <w:tmpl w:val="9D38D40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4027EB"/>
    <w:multiLevelType w:val="hybridMultilevel"/>
    <w:tmpl w:val="50EAAE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44B4"/>
    <w:multiLevelType w:val="hybridMultilevel"/>
    <w:tmpl w:val="DD24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16285"/>
    <w:multiLevelType w:val="hybridMultilevel"/>
    <w:tmpl w:val="B4F806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B4C"/>
    <w:multiLevelType w:val="hybridMultilevel"/>
    <w:tmpl w:val="4DDEC90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5C591D"/>
    <w:multiLevelType w:val="hybridMultilevel"/>
    <w:tmpl w:val="F3384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A68AD"/>
    <w:multiLevelType w:val="hybridMultilevel"/>
    <w:tmpl w:val="FD5AF3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D5044"/>
    <w:multiLevelType w:val="hybridMultilevel"/>
    <w:tmpl w:val="0A8A8F58"/>
    <w:lvl w:ilvl="0" w:tplc="08090003">
      <w:start w:val="1"/>
      <w:numFmt w:val="bullet"/>
      <w:lvlText w:val="o"/>
      <w:lvlJc w:val="left"/>
      <w:pPr>
        <w:ind w:left="-192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1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</w:abstractNum>
  <w:abstractNum w:abstractNumId="36" w15:restartNumberingAfterBreak="0">
    <w:nsid w:val="7FD274B8"/>
    <w:multiLevelType w:val="hybridMultilevel"/>
    <w:tmpl w:val="1210663E"/>
    <w:lvl w:ilvl="0" w:tplc="0809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1"/>
  </w:num>
  <w:num w:numId="4">
    <w:abstractNumId w:val="23"/>
  </w:num>
  <w:num w:numId="5">
    <w:abstractNumId w:val="28"/>
  </w:num>
  <w:num w:numId="6">
    <w:abstractNumId w:val="35"/>
  </w:num>
  <w:num w:numId="7">
    <w:abstractNumId w:val="16"/>
  </w:num>
  <w:num w:numId="8">
    <w:abstractNumId w:val="4"/>
  </w:num>
  <w:num w:numId="9">
    <w:abstractNumId w:val="32"/>
  </w:num>
  <w:num w:numId="10">
    <w:abstractNumId w:val="13"/>
  </w:num>
  <w:num w:numId="11">
    <w:abstractNumId w:val="5"/>
  </w:num>
  <w:num w:numId="12">
    <w:abstractNumId w:val="29"/>
  </w:num>
  <w:num w:numId="13">
    <w:abstractNumId w:val="8"/>
  </w:num>
  <w:num w:numId="14">
    <w:abstractNumId w:val="18"/>
  </w:num>
  <w:num w:numId="15">
    <w:abstractNumId w:val="15"/>
  </w:num>
  <w:num w:numId="16">
    <w:abstractNumId w:val="26"/>
  </w:num>
  <w:num w:numId="17">
    <w:abstractNumId w:val="19"/>
  </w:num>
  <w:num w:numId="18">
    <w:abstractNumId w:val="3"/>
  </w:num>
  <w:num w:numId="19">
    <w:abstractNumId w:val="17"/>
  </w:num>
  <w:num w:numId="20">
    <w:abstractNumId w:val="20"/>
  </w:num>
  <w:num w:numId="21">
    <w:abstractNumId w:val="31"/>
  </w:num>
  <w:num w:numId="22">
    <w:abstractNumId w:val="9"/>
  </w:num>
  <w:num w:numId="23">
    <w:abstractNumId w:val="36"/>
  </w:num>
  <w:num w:numId="24">
    <w:abstractNumId w:val="25"/>
  </w:num>
  <w:num w:numId="25">
    <w:abstractNumId w:val="0"/>
  </w:num>
  <w:num w:numId="26">
    <w:abstractNumId w:val="24"/>
  </w:num>
  <w:num w:numId="27">
    <w:abstractNumId w:val="2"/>
  </w:num>
  <w:num w:numId="28">
    <w:abstractNumId w:val="33"/>
  </w:num>
  <w:num w:numId="29">
    <w:abstractNumId w:val="12"/>
  </w:num>
  <w:num w:numId="30">
    <w:abstractNumId w:val="6"/>
  </w:num>
  <w:num w:numId="31">
    <w:abstractNumId w:val="14"/>
  </w:num>
  <w:num w:numId="32">
    <w:abstractNumId w:val="1"/>
  </w:num>
  <w:num w:numId="33">
    <w:abstractNumId w:val="7"/>
  </w:num>
  <w:num w:numId="34">
    <w:abstractNumId w:val="27"/>
  </w:num>
  <w:num w:numId="35">
    <w:abstractNumId w:val="30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65"/>
    <w:rsid w:val="0001241C"/>
    <w:rsid w:val="00015FF9"/>
    <w:rsid w:val="0002454B"/>
    <w:rsid w:val="00032709"/>
    <w:rsid w:val="00053FD9"/>
    <w:rsid w:val="000961C0"/>
    <w:rsid w:val="000A43A0"/>
    <w:rsid w:val="000A75F5"/>
    <w:rsid w:val="000C6F25"/>
    <w:rsid w:val="000F4C32"/>
    <w:rsid w:val="0012602F"/>
    <w:rsid w:val="00134CA5"/>
    <w:rsid w:val="0015406F"/>
    <w:rsid w:val="00196ED6"/>
    <w:rsid w:val="001F37C7"/>
    <w:rsid w:val="002A46B5"/>
    <w:rsid w:val="002B0451"/>
    <w:rsid w:val="002E3980"/>
    <w:rsid w:val="002F6DF6"/>
    <w:rsid w:val="00304A9F"/>
    <w:rsid w:val="00314910"/>
    <w:rsid w:val="003328C1"/>
    <w:rsid w:val="00335D95"/>
    <w:rsid w:val="00395DFB"/>
    <w:rsid w:val="003A5027"/>
    <w:rsid w:val="003B51FE"/>
    <w:rsid w:val="003F62D0"/>
    <w:rsid w:val="0040552E"/>
    <w:rsid w:val="004062AE"/>
    <w:rsid w:val="004203E5"/>
    <w:rsid w:val="004432F8"/>
    <w:rsid w:val="00460E18"/>
    <w:rsid w:val="004704DB"/>
    <w:rsid w:val="00475BA4"/>
    <w:rsid w:val="00490DE2"/>
    <w:rsid w:val="004B542D"/>
    <w:rsid w:val="004D3F50"/>
    <w:rsid w:val="00517CC0"/>
    <w:rsid w:val="005264C3"/>
    <w:rsid w:val="00534295"/>
    <w:rsid w:val="00580385"/>
    <w:rsid w:val="005D1134"/>
    <w:rsid w:val="005E4B92"/>
    <w:rsid w:val="005E59F4"/>
    <w:rsid w:val="005F46A1"/>
    <w:rsid w:val="005F5863"/>
    <w:rsid w:val="00623D63"/>
    <w:rsid w:val="00631473"/>
    <w:rsid w:val="00646A65"/>
    <w:rsid w:val="00665795"/>
    <w:rsid w:val="006A5B10"/>
    <w:rsid w:val="006C48D2"/>
    <w:rsid w:val="006E7FF8"/>
    <w:rsid w:val="006F073E"/>
    <w:rsid w:val="00717B20"/>
    <w:rsid w:val="00723E9B"/>
    <w:rsid w:val="00731D53"/>
    <w:rsid w:val="007352C4"/>
    <w:rsid w:val="00742700"/>
    <w:rsid w:val="007457CE"/>
    <w:rsid w:val="00781974"/>
    <w:rsid w:val="007A7B4C"/>
    <w:rsid w:val="007B57D7"/>
    <w:rsid w:val="007D2667"/>
    <w:rsid w:val="007D6F42"/>
    <w:rsid w:val="008532EB"/>
    <w:rsid w:val="00862974"/>
    <w:rsid w:val="008735A0"/>
    <w:rsid w:val="0088445F"/>
    <w:rsid w:val="008D2EF8"/>
    <w:rsid w:val="008D3309"/>
    <w:rsid w:val="009100B5"/>
    <w:rsid w:val="00924EEB"/>
    <w:rsid w:val="00971663"/>
    <w:rsid w:val="00973A2C"/>
    <w:rsid w:val="00984D97"/>
    <w:rsid w:val="009B61E2"/>
    <w:rsid w:val="009D0589"/>
    <w:rsid w:val="009E75E4"/>
    <w:rsid w:val="00A1122F"/>
    <w:rsid w:val="00A26DB2"/>
    <w:rsid w:val="00A41E8C"/>
    <w:rsid w:val="00A65F5C"/>
    <w:rsid w:val="00A727E7"/>
    <w:rsid w:val="00A900EC"/>
    <w:rsid w:val="00AD40C9"/>
    <w:rsid w:val="00AD79F6"/>
    <w:rsid w:val="00AF6A67"/>
    <w:rsid w:val="00B0097D"/>
    <w:rsid w:val="00B113E1"/>
    <w:rsid w:val="00B328A3"/>
    <w:rsid w:val="00B51759"/>
    <w:rsid w:val="00B53F30"/>
    <w:rsid w:val="00B65150"/>
    <w:rsid w:val="00BB6057"/>
    <w:rsid w:val="00BB6FC2"/>
    <w:rsid w:val="00BB77B1"/>
    <w:rsid w:val="00BC73DB"/>
    <w:rsid w:val="00BE14E7"/>
    <w:rsid w:val="00C02E97"/>
    <w:rsid w:val="00C135C3"/>
    <w:rsid w:val="00C204E1"/>
    <w:rsid w:val="00C22F61"/>
    <w:rsid w:val="00C24708"/>
    <w:rsid w:val="00C744E4"/>
    <w:rsid w:val="00C76068"/>
    <w:rsid w:val="00C80051"/>
    <w:rsid w:val="00C83750"/>
    <w:rsid w:val="00CD37E4"/>
    <w:rsid w:val="00CF28D3"/>
    <w:rsid w:val="00CF7230"/>
    <w:rsid w:val="00D315E4"/>
    <w:rsid w:val="00D76736"/>
    <w:rsid w:val="00D93F3F"/>
    <w:rsid w:val="00D942FB"/>
    <w:rsid w:val="00D94A31"/>
    <w:rsid w:val="00DA3D65"/>
    <w:rsid w:val="00DE24D2"/>
    <w:rsid w:val="00DE73D2"/>
    <w:rsid w:val="00DF5B5F"/>
    <w:rsid w:val="00E044D2"/>
    <w:rsid w:val="00E739CD"/>
    <w:rsid w:val="00E83502"/>
    <w:rsid w:val="00E85D71"/>
    <w:rsid w:val="00E96029"/>
    <w:rsid w:val="00EA1C7B"/>
    <w:rsid w:val="00EF3E5B"/>
    <w:rsid w:val="00F03850"/>
    <w:rsid w:val="00F1093E"/>
    <w:rsid w:val="00F214A9"/>
    <w:rsid w:val="00F31598"/>
    <w:rsid w:val="00F40749"/>
    <w:rsid w:val="00F516DA"/>
    <w:rsid w:val="00F67C95"/>
    <w:rsid w:val="00FB62DA"/>
    <w:rsid w:val="00FC0986"/>
    <w:rsid w:val="00FF2B3E"/>
    <w:rsid w:val="00FF5F6E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C4504EC"/>
  <w15:docId w15:val="{8EB7069A-CB53-4A75-8E15-0A28B36C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3D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A3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3E"/>
  </w:style>
  <w:style w:type="paragraph" w:styleId="Footer">
    <w:name w:val="footer"/>
    <w:basedOn w:val="Normal"/>
    <w:link w:val="FooterChar"/>
    <w:uiPriority w:val="99"/>
    <w:unhideWhenUsed/>
    <w:rsid w:val="00F1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3E"/>
  </w:style>
  <w:style w:type="paragraph" w:styleId="BalloonText">
    <w:name w:val="Balloon Text"/>
    <w:basedOn w:val="Normal"/>
    <w:link w:val="BalloonTextChar"/>
    <w:uiPriority w:val="99"/>
    <w:semiHidden/>
    <w:unhideWhenUsed/>
    <w:rsid w:val="00F1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B3E"/>
    <w:rPr>
      <w:strike w:val="0"/>
      <w:dstrike w:val="0"/>
      <w:color w:val="EE6123"/>
      <w:u w:val="none"/>
      <w:effect w:val="none"/>
    </w:rPr>
  </w:style>
  <w:style w:type="character" w:customStyle="1" w:styleId="protocol">
    <w:name w:val="protocol"/>
    <w:basedOn w:val="DefaultParagraphFont"/>
    <w:rsid w:val="00FF2B3E"/>
  </w:style>
  <w:style w:type="character" w:styleId="UnresolvedMention">
    <w:name w:val="Unresolved Mention"/>
    <w:basedOn w:val="DefaultParagraphFont"/>
    <w:uiPriority w:val="99"/>
    <w:semiHidden/>
    <w:unhideWhenUsed/>
    <w:rsid w:val="00FF6A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5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F5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7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606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uthwest.devonformularyguidance.nhs.uk/formulary/chapters/17-wound-management-formul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theast.devonformularyguidance.nhs.uk/formulary/chapters/wound-manageme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1AE1-ED24-4959-B3C2-BDFB58FB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Catherine (5PT) Suffolk PCT</dc:creator>
  <cp:lastModifiedBy>Darren Wright</cp:lastModifiedBy>
  <cp:revision>2</cp:revision>
  <cp:lastPrinted>2015-02-09T09:09:00Z</cp:lastPrinted>
  <dcterms:created xsi:type="dcterms:W3CDTF">2020-11-16T13:53:00Z</dcterms:created>
  <dcterms:modified xsi:type="dcterms:W3CDTF">2020-11-16T13:53:00Z</dcterms:modified>
</cp:coreProperties>
</file>